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Fiche de dossier</w:t>
      </w:r>
    </w:p>
    <w:p>
      <w:pPr>
        <w:jc w:val="center"/>
      </w:pPr>
      <w:r>
        <w:rPr>
          <w:b/>
          <w:sz w:val="24"/>
        </w:rPr>
        <w:t>Rénovations Exemplaires inc. c. Julie Exemple</w:t>
      </w:r>
    </w:p>
    <w:p>
      <w:pPr>
        <w:jc w:val="center"/>
      </w:pPr>
      <w:r>
        <w:rPr>
          <w:sz w:val="20"/>
        </w:rPr>
        <w:t>Cour du Québec, chambre civile — district de Ville-Fictive</w:t>
        <w:br/>
        <w:t>N° 999-22-000000-265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2CC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 xml:space="preserve">Repère principal : </w:t>
            </w:r>
            <w:r>
              <w:t>la demande a été signifiée le 2 octobre 2026. Le délai de 15 jours pour répondre mène au 17 octobre, un samedi; selon l’art. 83 C.p.c., l’échéance est reportée au lundi 19 octobre 2026.</w:t>
            </w:r>
          </w:p>
        </w:tc>
      </w:tr>
    </w:tbl>
    <w:p>
      <w:pPr>
        <w:pStyle w:val="Heading1"/>
        <w:keepNext/>
      </w:pPr>
      <w:r>
        <w:t>1. Identification du dossier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2304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Élément</w:t>
            </w:r>
          </w:p>
        </w:tc>
        <w:tc>
          <w:tcPr>
            <w:tcW w:type="dxa" w:w="8352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Information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Tribunal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Cour du Québec — chambre civile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District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Ville-Fictive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Numéro de dossier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999-22-000000-265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Partie demanderesse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Rénovations Exemplaires inc., 1000, rue de l’Exercice, bureau 200, Ville-Fictive (Québec) X0X 0X0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Avocat de la demanderesse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Me Paul Fictif, Cabinet Fictif &amp; Associés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Partie défenderesse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Julie Exemple, 25, avenue des Essais, Ville-Fictive (Québec) X0X 1X1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Nature du recours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Demande introductive d’instance en recouvrement de sommes et en dommages-intérêts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Date de la demande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30 septembre 2026</w:t>
            </w:r>
          </w:p>
        </w:tc>
      </w:tr>
      <w:tr>
        <w:trPr>
          <w:cantSplit/>
        </w:trPr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Date de signification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 octobre 2026 (indiquée au projet de protocole et confirmée par Julie Exemple)</w:t>
            </w:r>
          </w:p>
        </w:tc>
      </w:tr>
    </w:tbl>
    <w:p>
      <w:pPr>
        <w:pStyle w:val="Heading1"/>
        <w:keepNext/>
      </w:pPr>
      <w:r>
        <w:t>2. Sommes et conclusions réclamées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244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Poste</w:t>
            </w:r>
          </w:p>
        </w:tc>
        <w:tc>
          <w:tcPr>
            <w:tcW w:type="dxa" w:w="244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Montant / demande</w:t>
            </w:r>
          </w:p>
        </w:tc>
        <w:tc>
          <w:tcPr>
            <w:tcW w:type="dxa" w:w="576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Précision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Solde du contrat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4 850 $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Réclamé comme solde de la facture 2026-118.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Frais administratifs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250 $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Fondés, selon la demanderesse, sur l’art. 7 des conditions générales de P-1.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Sous-total contractuel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5 100 $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La demanderesse demande des intérêts de 2 % par mois à compter du 29 août 2026.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Dommages à la réputation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20 000 $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Avec intérêts au taux légal et indemnité additionnelle de l’art. 1619 C.c.Q., à compter de la mise en demeure.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Total principal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25 100 $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Avant intérêts, indemnité additionnelle et frais de justice.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Conclusion non monétaire</w:t>
            </w:r>
          </w:p>
        </w:tc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Retrait de l’avis en ligne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La demanderesse demande une ordonnance de retrait dans les 10 jours du jugement à intervenir.</w:t>
            </w:r>
          </w:p>
        </w:tc>
      </w:tr>
    </w:tbl>
    <w:p>
      <w:pPr>
        <w:pStyle w:val="Heading1"/>
        <w:keepNext/>
      </w:pPr>
      <w:r>
        <w:t>3. Chronologie des faits allégués et pièces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65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464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Événement</w:t>
            </w:r>
          </w:p>
        </w:tc>
        <w:tc>
          <w:tcPr>
            <w:tcW w:type="dxa" w:w="1944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Pièce</w:t>
            </w:r>
          </w:p>
        </w:tc>
        <w:tc>
          <w:tcPr>
            <w:tcW w:type="dxa" w:w="288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3 juin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Contrat de rénovation complète de la salle de bain pour 12 400 $, taxes incluses.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P-1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Demande, par. 3.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3 juin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Versement de 5 000 $.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6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paiement apparaît toutefois sur P-2.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10 juillet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Versement de 2 550 $; total payé : 7 550 $.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6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paiement apparaît toutefois sur P-2.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12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Fin des travaux alléguée.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7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P-3 et P-5 mentionnent aussi la fin des travaux le 12 août.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12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Visite de fin de travaux; liste sans déficience inscrite.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P-6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P-6 indique « conforme : oui » pour le ventilateur et la céramique; la ligne « déficiences » est vide.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12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réserve écrite n’aurait été formulée par Julie.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9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P-6 n’est pas signée par la cliente.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13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Julie dit avoir découvert deux fissures près de la douche et pris des photos.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P-3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Cette date vient du courriel de Julie.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14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Facture 2026-118 pour un solde de 4 850 $.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P-2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La facture indique « payable dans les quinze (15) jours ».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22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Julie refuse de payer avant correction des fissures et du ventilateur.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P-3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Elle écrit aussi avoir signalé oralement le bruit du ventilateur lors de la visite du 12 août.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29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Publication d’un avis deux étoiles.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P-5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texte mentionne les fissures, le ventilateur bruyant et l’absence de réponse au courriel.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Après le 29 août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Deux clients potentiels auraient renoncé à contracter avec la demanderesse.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15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À vérifier.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15 septembre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Mise en demeure : paiement, frais, intérêts et retrait de l’avis.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P-4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Délai demandé : 10 jours de la réception.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28 septembre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Julie aurait transmis une lettre refusant de payer le solde réclamé.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Aucune pièce citée au par. 18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Cette lettre ne figure pas parmi P-1 à P-6.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30 septembre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Demande introductive d’instance datée et déposée.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Demande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 octobre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Signification de la demande introductive.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Date confirmée par Julie.</w:t>
            </w:r>
          </w:p>
        </w:tc>
      </w:tr>
      <w:tr>
        <w:trPr>
          <w:cantSplit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20 octobre 2026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 transmis pour discussion et signature.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projet n’est pas signé par Julie.</w:t>
            </w:r>
          </w:p>
        </w:tc>
      </w:tr>
    </w:tbl>
    <w:p>
      <w:pPr>
        <w:pStyle w:val="Heading1"/>
        <w:keepNext/>
      </w:pPr>
      <w:r>
        <w:t>4. Paragraphes de la demande sans renvoi explicite à une pièce</w:t>
      </w:r>
    </w:p>
    <w:p>
      <w:r>
        <w:rPr>
          <w:b/>
        </w:rPr>
        <w:t xml:space="preserve">Paragraphes : </w:t>
      </w:r>
      <w:r>
        <w:t>1, 2, 6, 7, 9, 12, 14, 15, 16, 18, 19, 20 et 21.</w:t>
      </w:r>
    </w:p>
    <w:p>
      <w:pPr>
        <w:pStyle w:val="Heading2"/>
      </w:pPr>
      <w:r>
        <w:t>Les plus importants à documenter ou à contester factuellement sont notamment :</w:t>
      </w:r>
    </w:p>
    <w:p>
      <w:pPr>
        <w:pStyle w:val="ListBullet"/>
      </w:pPr>
      <w:r>
        <w:t>Par. 12 : les défauts seraient « mineurs » et ne justifieraient pas la retenue du solde.</w:t>
      </w:r>
    </w:p>
    <w:p>
      <w:pPr>
        <w:pStyle w:val="ListBullet"/>
      </w:pPr>
      <w:r>
        <w:t>Par. 14 : l’avis contiendrait des affirmations « fausses et diffamatoires ».</w:t>
      </w:r>
    </w:p>
    <w:p>
      <w:pPr>
        <w:pStyle w:val="ListBullet"/>
      </w:pPr>
      <w:r>
        <w:t>Par. 15 : deux clients potentiels auraient renoncé à contracter avec l’entreprise.</w:t>
      </w:r>
    </w:p>
    <w:p>
      <w:pPr>
        <w:pStyle w:val="ListBullet"/>
      </w:pPr>
      <w:r>
        <w:t>Par. 16 : le préjudice à la réputation est évalué à 20 000 $.</w:t>
      </w:r>
    </w:p>
    <w:p>
      <w:pPr>
        <w:pStyle w:val="ListBullet"/>
      </w:pPr>
      <w:r>
        <w:t>Par. 18 : une lettre du 28 septembre 2026 est alléguée mais ne fait pas partie de P-1 à P-6.</w:t>
      </w:r>
    </w:p>
    <w:p>
      <w:pPr>
        <w:pStyle w:val="ListBullet"/>
      </w:pPr>
      <w:r>
        <w:t>Par. 19 : rien n’aurait été payé depuis et l’avis n’aurait pas été retiré.</w:t>
      </w:r>
    </w:p>
    <w:p>
      <w:pPr>
        <w:pStyle w:val="Heading1"/>
        <w:keepNext/>
      </w:pPr>
      <w:r>
        <w:t>5. Échéances du dossier</w:t>
      </w:r>
    </w:p>
    <w:p>
      <w:r>
        <w:rPr>
          <w:b/>
        </w:rPr>
        <w:t xml:space="preserve">Important : </w:t>
      </w:r>
      <w:r>
        <w:t>les dates du 15 décembre 2026, 29 janvier 2027, 1er mars 2027 et 2 avril 2027 proviennent du projet de protocole. Le document est présenté comme un projet « pour discussion et signature » et n’est pas signé par Julie.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80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68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37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Source</w:t>
            </w:r>
          </w:p>
        </w:tc>
        <w:tc>
          <w:tcPr>
            <w:tcW w:type="dxa" w:w="237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Règle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19 octobre 2026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Répondre à l’assignation; indiquer l’intention (contester, régler, médiation, conférence de règlement); notifier la réponse à l’avocat de la demanderesse et la produire au greffe.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Avis d’assignation + calcul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145, 147 et 83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16 novembre 2026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Coopérer à l’établissement du protocole et faire déposer le protocole ou, en cas de désaccord, une proposition de protocole.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Délai légal de 45 jours depuis le 2 octobre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148, 149 et 152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15 décembre 2026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Communiquer les pièces de la défenderesse.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148(6) et 246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15 décembre 2026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Produire une défense écrite, si cette modalité est retenue dans le protocole établi.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148(5), 170 et 171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29 janvier 2027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Compléter les interrogatoires préalables, durée maximale proposée de 2 h par partie.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148(3), 221 et question de l’art. 229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1er mars 2027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Rapport de l’expertise commune sur la céramique et le ventilateur.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148(4), 232 et 233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Après l’expertise — sans date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Considérer une conférence de règlement à l’amiable.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148(2) C.p.c.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 avril 2027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Demande d’inscription pour instruction et jugement / dossier prêt pour instruction selon le projet.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Projet de protocole</w:t>
            </w:r>
          </w:p>
        </w:tc>
        <w:tc>
          <w:tcPr>
            <w:tcW w:type="dxa" w:w="23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Art. 173 et 174 C.p.c.</w:t>
            </w:r>
          </w:p>
        </w:tc>
      </w:tr>
    </w:tbl>
    <w:p>
      <w:pPr>
        <w:pStyle w:val="Heading2"/>
      </w:pPr>
      <w:r>
        <w:t>Liens LégisQuébec</w:t>
      </w:r>
    </w:p>
    <w:p>
      <w:pPr>
        <w:pStyle w:val="ListBullet"/>
      </w:pPr>
      <w:hyperlink r:id="rId11">
        <w:r>
          <w:rPr>
            <w:color w:val="2F5597"/>
            <w:u w:val="single"/>
          </w:rPr>
          <w:t>Code de procédure civile — texte officiel</w:t>
        </w:r>
      </w:hyperlink>
    </w:p>
    <w:p>
      <w:pPr>
        <w:pStyle w:val="ListBullet"/>
      </w:pPr>
      <w:hyperlink r:id="rId12">
        <w:r>
          <w:rPr>
            <w:color w:val="2F5597"/>
            <w:u w:val="single"/>
          </w:rPr>
          <w:t>Article 83 — computation des délais</w:t>
        </w:r>
      </w:hyperlink>
    </w:p>
    <w:p>
      <w:pPr>
        <w:pStyle w:val="ListBullet"/>
      </w:pPr>
      <w:hyperlink r:id="rId13">
        <w:r>
          <w:rPr>
            <w:color w:val="2F5597"/>
            <w:u w:val="single"/>
          </w:rPr>
          <w:t>Article 145 — réponse à l’assignation</w:t>
        </w:r>
      </w:hyperlink>
    </w:p>
    <w:p>
      <w:pPr>
        <w:pStyle w:val="ListBullet"/>
      </w:pPr>
      <w:hyperlink r:id="rId14">
        <w:r>
          <w:rPr>
            <w:color w:val="2F5597"/>
            <w:u w:val="single"/>
          </w:rPr>
          <w:t>Article 148 — contenu du protocole</w:t>
        </w:r>
      </w:hyperlink>
    </w:p>
    <w:p>
      <w:pPr>
        <w:pStyle w:val="ListBullet"/>
      </w:pPr>
      <w:hyperlink r:id="rId15">
        <w:r>
          <w:rPr>
            <w:color w:val="2F5597"/>
            <w:u w:val="single"/>
          </w:rPr>
          <w:t>Article 171 — défense orale/écrite</w:t>
        </w:r>
      </w:hyperlink>
    </w:p>
    <w:p>
      <w:pPr>
        <w:pStyle w:val="ListBullet"/>
      </w:pPr>
      <w:hyperlink r:id="rId16">
        <w:r>
          <w:rPr>
            <w:color w:val="2F5597"/>
            <w:u w:val="single"/>
          </w:rPr>
          <w:t>Article 173 — mise en état et inscription</w:t>
        </w:r>
      </w:hyperlink>
    </w:p>
    <w:p>
      <w:pPr>
        <w:pStyle w:val="ListBullet"/>
      </w:pPr>
      <w:hyperlink r:id="rId17">
        <w:r>
          <w:rPr>
            <w:color w:val="2F5597"/>
            <w:u w:val="single"/>
          </w:rPr>
          <w:t>Article 246 — communication des pièces</w:t>
        </w:r>
      </w:hyperlink>
    </w:p>
    <w:p>
      <w:pPr>
        <w:pStyle w:val="Heading1"/>
        <w:keepNext/>
      </w:pPr>
      <w:r>
        <w:t>6. Questions et points à vérifier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288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Point</w:t>
            </w:r>
          </w:p>
        </w:tc>
        <w:tc>
          <w:tcPr>
            <w:tcW w:type="dxa" w:w="777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À vérifier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Délai de paiement contradictoire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P-1, art. 7, dit que toute facture est payable dans les 30 jours de sa date, alors que P-2 indique « payable dans les quinze (15) jours ». La demanderesse réclame pourtant des intérêts à compter du 29 août 2026. Vérifier l’effet de cette contradiction sur l’échéance et les intérêts.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Ventilateur signalé le 12 août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par. 12 de la demande dit que les défauts n’avaient pas été signalés lors de la visite. P-3 affirme toutefois : « comme je vous l’ai dit lors de la visite du 12 août, le ventilateur fait un bruit anormal ». Vérifier comment établir cette communication orale.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P-6 non signée par Julie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La liste de fin de travaux ne contient aucune déficience et marque le ventilateur « conforme », mais la ligne « Signature du client » est vide. Vérifier la portée de cette pièce et qui l’a remplie.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Photos du 13 août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P-3 dit que Julie a pris des photos des fissures le 13 août. Elles ne figurent pas dans P-1 à P-6. Vérifier qu’elles sont conservées, datées et communicables comme pièces de la défense.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Absence de réponse au courriel du 22 août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P-5 affirme qu’aucune réponse n’a été reçue. Vérifier les courriels, textos, appels ou visites entre le 22 août et la mise en demeure.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Lettre du 28 septembre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par. 18 allègue une lettre de Julie, mais elle n’est pas produite parmi P-1 à P-6. Retrouver la version exacte et sa preuve de transmission/réception.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Allégation de deux clients perdus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par. 15 ne renvoie à aucune pièce. Vérifier quelle preuve la demanderesse entend invoquer : identités, communications, contrats projetés, causalité avec l’avis.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Préjudice de 20 000 $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par. 16 ne renvoie à aucune pièce. Vérifier le fondement du calcul du dommage à la réputation et les éléments de preuve annoncés.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Caractère prétendument faux/diffamatoire de l’avis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Comparer phrase par phrase P-5 avec P-3, P-6, les photos et tout échange. La demande ne précise pas au par. 14 quelle affirmation exacte serait fausse.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Défense écrite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projet impose une défense écrite au 15 décembre. Vérifier si cette modalité doit être acceptée ou contestée au regard des art. 148(5), 170 et 171 C.p.c.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Interrogatoires préalables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projet prévoit des interrogatoires de 2 h. Vérifier l’application de l’art. 229 C.p.c. compte tenu de la réclamation monétaire de 25 100 $ et de la conclusion non monétaire visant le retrait de l’avis.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Expertise commune et partage des frais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projet prévoit une expertise commune et un partage 50/50 des frais. Vérifier l’opportunité, le mandat, le choix de l’expert, le coût anticipé et les modalités avant d’accepter.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Date du projet de protocole</w:t>
            </w:r>
          </w:p>
        </w:tc>
        <w:tc>
          <w:tcPr>
            <w:tcW w:type="dxa" w:w="77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 projet est daté du 20 octobre 2026, soit après l’échéance calculée du 19 octobre pour la réponse à l’assignation. Vérifier la séquence procédurale et les communications réelles entre les parties.</w:t>
            </w:r>
          </w:p>
        </w:tc>
      </w:tr>
    </w:tbl>
    <w:p>
      <w:pPr>
        <w:pStyle w:val="Heading1"/>
        <w:keepNext/>
      </w:pPr>
      <w:r>
        <w:t>7. Pièces du dossier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1152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Pièce</w:t>
            </w:r>
          </w:p>
        </w:tc>
        <w:tc>
          <w:tcPr>
            <w:tcW w:type="dxa" w:w="8352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129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Pages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P-1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Contrat de rénovation du 3 juin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 pages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P-2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Facture n° 2026-118 du 14 août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 page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P-3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Courriel de Julie Exemple du 22 août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 page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P-4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Mise en demeure du 15 septembre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 pages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P-5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Copie de l’avis en ligne du 29 août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 page</w:t>
            </w:r>
          </w:p>
        </w:tc>
      </w:tr>
      <w:tr>
        <w:trPr>
          <w:cantSplit/>
        </w:trPr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P-6</w:t>
            </w:r>
          </w:p>
        </w:tc>
        <w:tc>
          <w:tcPr>
            <w:tcW w:type="dxa" w:w="83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Liste de vérification de fin de travaux du 12 août 2026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 page</w:t>
            </w:r>
          </w:p>
        </w:tc>
      </w:tr>
    </w:tbl>
    <w:p>
      <w:pPr>
        <w:spacing w:before="160"/>
      </w:pPr>
      <w:r>
        <w:rPr>
          <w:b/>
        </w:rPr>
        <w:t xml:space="preserve">Note de méthode : </w:t>
      </w:r>
      <w:r>
        <w:t>cette fiche rassemble les informations contenues dans la demande, le projet de protocole et les pièces P-1 à P-6, ainsi que les échéances procédurales déjà vérifiées. Les affirmations de la demanderesse sont rapportées comme des allégations et non comme des faits établis.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Exercice de formation IA d’EnDroit.ca — aucune valeur juridique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E6E6E"/>
        <w:sz w:val="16"/>
      </w:rPr>
      <w:t>FICHE DE DOSSIER — DOCUMENT FICTIF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b/>
      <w:color w:val="1F4E7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legisquebec.gouv.qc.ca/fr/document/lc/C-25.01" TargetMode="External"/><Relationship Id="rId12" Type="http://schemas.openxmlformats.org/officeDocument/2006/relationships/hyperlink" Target="https://www.legisquebec.gouv.qc.ca/fr/version/lc/c-25.01?code=se%3A83" TargetMode="External"/><Relationship Id="rId13" Type="http://schemas.openxmlformats.org/officeDocument/2006/relationships/hyperlink" Target="https://www.legisquebec.gouv.qc.ca/fr/version/lc/C-25.01?code=se%3A145" TargetMode="External"/><Relationship Id="rId14" Type="http://schemas.openxmlformats.org/officeDocument/2006/relationships/hyperlink" Target="https://www.legisquebec.gouv.qc.ca/fr/version/lc/C-25.01?code=se%3A148" TargetMode="External"/><Relationship Id="rId15" Type="http://schemas.openxmlformats.org/officeDocument/2006/relationships/hyperlink" Target="https://www.legisquebec.gouv.qc.ca/fr/version/lc/C-25.01?code=se%3A171" TargetMode="External"/><Relationship Id="rId16" Type="http://schemas.openxmlformats.org/officeDocument/2006/relationships/hyperlink" Target="https://www.legisquebec.gouv.qc.ca/fr/version/lc/C-25.01?code=se%3A173" TargetMode="External"/><Relationship Id="rId17" Type="http://schemas.openxmlformats.org/officeDocument/2006/relationships/hyperlink" Target="https://www.legisquebec.gouv.qc.ca/fr/version/lc/C-25.01?code=se%3A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