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5" w:type="dxa"/>
        <w:tblLayout w:type="fixed"/>
        <w:tblCellMar>
          <w:left w:w="70" w:type="dxa"/>
          <w:right w:w="70" w:type="dxa"/>
        </w:tblCellMar>
        <w:tblLook w:val="0000" w:firstRow="0" w:lastRow="0" w:firstColumn="0" w:lastColumn="0" w:noHBand="0" w:noVBand="0"/>
      </w:tblPr>
      <w:tblGrid>
        <w:gridCol w:w="1036"/>
        <w:gridCol w:w="69"/>
        <w:gridCol w:w="45"/>
        <w:gridCol w:w="465"/>
        <w:gridCol w:w="1585"/>
        <w:gridCol w:w="1826"/>
        <w:gridCol w:w="2064"/>
        <w:gridCol w:w="2415"/>
      </w:tblGrid>
      <w:tr w:rsidR="00A04FFF" w:rsidRPr="00583EE5" w14:paraId="46222A12" w14:textId="77777777">
        <w:trPr>
          <w:trHeight w:val="360"/>
        </w:trPr>
        <w:tc>
          <w:tcPr>
            <w:tcW w:w="7090" w:type="dxa"/>
            <w:gridSpan w:val="7"/>
          </w:tcPr>
          <w:p w14:paraId="4CF42698" w14:textId="0062EC8F" w:rsidR="00A04FFF" w:rsidRPr="00583EE5" w:rsidRDefault="00A04FFF" w:rsidP="00A04FFF">
            <w:pPr>
              <w:pStyle w:val="zSoquijdatRepertorie"/>
            </w:pPr>
            <w:r w:rsidRPr="00947C09">
              <w:t>Hinse c. Rizqy</w:t>
            </w:r>
          </w:p>
        </w:tc>
        <w:tc>
          <w:tcPr>
            <w:tcW w:w="2415" w:type="dxa"/>
          </w:tcPr>
          <w:p w14:paraId="4D796B9C" w14:textId="6E19D3AF" w:rsidR="00A04FFF" w:rsidRPr="00583EE5" w:rsidRDefault="00A04FFF" w:rsidP="00A04FFF">
            <w:pPr>
              <w:pStyle w:val="zSoquijdatRefNeutre"/>
              <w:jc w:val="right"/>
            </w:pPr>
            <w:r w:rsidRPr="00947C09">
              <w:t>2026 QCCS 3150</w:t>
            </w:r>
          </w:p>
        </w:tc>
      </w:tr>
      <w:tr w:rsidR="008A509D" w:rsidRPr="008A509D" w14:paraId="5DF6B590" w14:textId="77777777">
        <w:trPr>
          <w:trHeight w:val="900"/>
        </w:trPr>
        <w:tc>
          <w:tcPr>
            <w:tcW w:w="9505" w:type="dxa"/>
            <w:gridSpan w:val="8"/>
            <w:vAlign w:val="bottom"/>
          </w:tcPr>
          <w:p w14:paraId="27B4CBAF" w14:textId="77777777" w:rsidR="00121A72" w:rsidRPr="008A509D" w:rsidRDefault="00121A72" w:rsidP="00D26929">
            <w:pPr>
              <w:pStyle w:val="zSoquijlblCour"/>
            </w:pPr>
            <w:r w:rsidRPr="008A509D">
              <w:t>COUR SUPÉRIEURE</w:t>
            </w:r>
          </w:p>
        </w:tc>
      </w:tr>
      <w:tr w:rsidR="008A509D" w:rsidRPr="008A509D" w14:paraId="0D28C433" w14:textId="77777777">
        <w:trPr>
          <w:trHeight w:val="540"/>
        </w:trPr>
        <w:tc>
          <w:tcPr>
            <w:tcW w:w="9505" w:type="dxa"/>
            <w:gridSpan w:val="8"/>
          </w:tcPr>
          <w:p w14:paraId="5CA04FF8" w14:textId="77777777" w:rsidR="00121A72" w:rsidRPr="008A509D" w:rsidRDefault="00121A72" w:rsidP="00D26929">
            <w:pPr>
              <w:pStyle w:val="zSoquijdatDivision"/>
            </w:pPr>
          </w:p>
        </w:tc>
      </w:tr>
      <w:tr w:rsidR="008A509D" w:rsidRPr="008A509D" w14:paraId="1FDAD82D" w14:textId="77777777">
        <w:tc>
          <w:tcPr>
            <w:tcW w:w="9505" w:type="dxa"/>
            <w:gridSpan w:val="8"/>
          </w:tcPr>
          <w:p w14:paraId="6FFB899A" w14:textId="77777777" w:rsidR="00121A72" w:rsidRPr="008A509D" w:rsidRDefault="00121A72" w:rsidP="00D26929">
            <w:pPr>
              <w:pStyle w:val="zSoquijlblPays"/>
            </w:pPr>
            <w:r w:rsidRPr="008A509D">
              <w:t>CANADA</w:t>
            </w:r>
          </w:p>
        </w:tc>
      </w:tr>
      <w:tr w:rsidR="008A509D" w:rsidRPr="008A509D" w14:paraId="12C678E0" w14:textId="77777777">
        <w:tc>
          <w:tcPr>
            <w:tcW w:w="9505" w:type="dxa"/>
            <w:gridSpan w:val="8"/>
          </w:tcPr>
          <w:p w14:paraId="29A3FA4F" w14:textId="77777777" w:rsidR="00121A72" w:rsidRPr="008A509D" w:rsidRDefault="00121A72" w:rsidP="00D26929">
            <w:pPr>
              <w:pStyle w:val="zSoquijlblProvince"/>
            </w:pPr>
            <w:r w:rsidRPr="008A509D">
              <w:t>PROVINCE DE QUÉBEC</w:t>
            </w:r>
          </w:p>
        </w:tc>
      </w:tr>
      <w:tr w:rsidR="008A509D" w:rsidRPr="008A509D" w14:paraId="30532E24" w14:textId="77777777">
        <w:tblPrEx>
          <w:tblCellMar>
            <w:left w:w="0" w:type="dxa"/>
            <w:right w:w="0" w:type="dxa"/>
          </w:tblCellMar>
        </w:tblPrEx>
        <w:trPr>
          <w:cantSplit/>
        </w:trPr>
        <w:tc>
          <w:tcPr>
            <w:tcW w:w="1615" w:type="dxa"/>
            <w:gridSpan w:val="4"/>
          </w:tcPr>
          <w:p w14:paraId="6317EA7C" w14:textId="77777777" w:rsidR="00121A72" w:rsidRPr="008A509D" w:rsidRDefault="00121A72" w:rsidP="00D26929">
            <w:pPr>
              <w:pStyle w:val="zSoquijlblGreffe"/>
            </w:pPr>
            <w:r w:rsidRPr="008A509D">
              <w:t>DISTRICT DE</w:t>
            </w:r>
          </w:p>
        </w:tc>
        <w:tc>
          <w:tcPr>
            <w:tcW w:w="7890" w:type="dxa"/>
            <w:gridSpan w:val="4"/>
          </w:tcPr>
          <w:p w14:paraId="278B9155" w14:textId="77777777" w:rsidR="00121A72" w:rsidRPr="008A509D" w:rsidRDefault="00F84E41" w:rsidP="00D26929">
            <w:pPr>
              <w:pStyle w:val="zSoquijdatGreffe"/>
            </w:pPr>
            <w:r w:rsidRPr="008A509D">
              <w:t>MONTRÉAL</w:t>
            </w:r>
          </w:p>
        </w:tc>
      </w:tr>
      <w:tr w:rsidR="008A509D" w:rsidRPr="008A509D" w14:paraId="0F8313CE" w14:textId="77777777">
        <w:tblPrEx>
          <w:tblCellMar>
            <w:left w:w="0" w:type="dxa"/>
            <w:right w:w="0" w:type="dxa"/>
          </w:tblCellMar>
        </w:tblPrEx>
        <w:trPr>
          <w:cantSplit/>
        </w:trPr>
        <w:tc>
          <w:tcPr>
            <w:tcW w:w="1150" w:type="dxa"/>
            <w:gridSpan w:val="3"/>
          </w:tcPr>
          <w:p w14:paraId="021DE0C4" w14:textId="77777777" w:rsidR="00121A72" w:rsidRPr="008A509D" w:rsidRDefault="00121A72" w:rsidP="00D26929">
            <w:pPr>
              <w:pStyle w:val="zSoquijlblLocalite"/>
            </w:pPr>
          </w:p>
        </w:tc>
        <w:tc>
          <w:tcPr>
            <w:tcW w:w="8355" w:type="dxa"/>
            <w:gridSpan w:val="5"/>
          </w:tcPr>
          <w:p w14:paraId="4F446FD5" w14:textId="77777777" w:rsidR="00121A72" w:rsidRPr="008A509D" w:rsidRDefault="00121A72" w:rsidP="00D26929">
            <w:pPr>
              <w:pStyle w:val="zSoquijdatLocalite"/>
            </w:pPr>
          </w:p>
        </w:tc>
      </w:tr>
      <w:tr w:rsidR="008A509D" w:rsidRPr="008A509D" w14:paraId="0FA3F998" w14:textId="77777777">
        <w:trPr>
          <w:trHeight w:val="540"/>
        </w:trPr>
        <w:tc>
          <w:tcPr>
            <w:tcW w:w="9505" w:type="dxa"/>
            <w:gridSpan w:val="8"/>
          </w:tcPr>
          <w:p w14:paraId="329B6CA6" w14:textId="77777777" w:rsidR="00121A72" w:rsidRPr="008A509D" w:rsidRDefault="00121A72" w:rsidP="00D26929">
            <w:pPr>
              <w:pStyle w:val="zSoquijlblNomChambre"/>
            </w:pPr>
          </w:p>
        </w:tc>
      </w:tr>
      <w:tr w:rsidR="008A509D" w:rsidRPr="008A509D" w14:paraId="70E35BA6" w14:textId="77777777">
        <w:tc>
          <w:tcPr>
            <w:tcW w:w="1105" w:type="dxa"/>
            <w:gridSpan w:val="2"/>
          </w:tcPr>
          <w:p w14:paraId="20AAF52B" w14:textId="77777777" w:rsidR="00121A72" w:rsidRPr="008A509D" w:rsidRDefault="00121A72" w:rsidP="00D26929">
            <w:pPr>
              <w:pStyle w:val="zSoquijlblNoDossier"/>
            </w:pPr>
            <w:r w:rsidRPr="008A509D">
              <w:t>N° :</w:t>
            </w:r>
          </w:p>
        </w:tc>
        <w:tc>
          <w:tcPr>
            <w:tcW w:w="8400" w:type="dxa"/>
            <w:gridSpan w:val="6"/>
          </w:tcPr>
          <w:p w14:paraId="598C27E5" w14:textId="541F2613" w:rsidR="00121A72" w:rsidRPr="008A509D" w:rsidRDefault="00F84E41" w:rsidP="009E7E11">
            <w:pPr>
              <w:pStyle w:val="zSoquijdatNoDossier"/>
              <w:ind w:left="-69"/>
            </w:pPr>
            <w:r w:rsidRPr="008A509D">
              <w:rPr>
                <w:rFonts w:cs="Arial"/>
                <w:noProof/>
                <w:lang w:val="en-CA"/>
              </w:rPr>
              <w:t>500-</w:t>
            </w:r>
            <w:r w:rsidR="00F72737" w:rsidRPr="008A509D">
              <w:rPr>
                <w:rFonts w:cs="Arial"/>
                <w:noProof/>
                <w:lang w:val="en-CA"/>
              </w:rPr>
              <w:t>17-1363</w:t>
            </w:r>
            <w:r w:rsidR="001C251E">
              <w:rPr>
                <w:rFonts w:cs="Arial"/>
                <w:noProof/>
                <w:lang w:val="en-CA"/>
              </w:rPr>
              <w:t>24</w:t>
            </w:r>
            <w:r w:rsidR="00F72737" w:rsidRPr="008A509D">
              <w:rPr>
                <w:rFonts w:cs="Arial"/>
                <w:noProof/>
                <w:lang w:val="en-CA"/>
              </w:rPr>
              <w:t>-251</w:t>
            </w:r>
          </w:p>
        </w:tc>
      </w:tr>
      <w:tr w:rsidR="008A509D" w:rsidRPr="008A509D" w14:paraId="65CA88D5" w14:textId="77777777">
        <w:tblPrEx>
          <w:tblCellMar>
            <w:left w:w="0" w:type="dxa"/>
            <w:right w:w="0" w:type="dxa"/>
          </w:tblCellMar>
        </w:tblPrEx>
        <w:trPr>
          <w:cantSplit/>
        </w:trPr>
        <w:tc>
          <w:tcPr>
            <w:tcW w:w="1105" w:type="dxa"/>
            <w:gridSpan w:val="2"/>
          </w:tcPr>
          <w:p w14:paraId="5D3FD8E1" w14:textId="77777777" w:rsidR="00121A72" w:rsidRPr="008A509D" w:rsidRDefault="00121A72" w:rsidP="00D26929">
            <w:pPr>
              <w:pStyle w:val="zSoquijlblGreffe"/>
            </w:pPr>
          </w:p>
        </w:tc>
        <w:tc>
          <w:tcPr>
            <w:tcW w:w="8400" w:type="dxa"/>
            <w:gridSpan w:val="6"/>
          </w:tcPr>
          <w:p w14:paraId="75700707" w14:textId="77777777" w:rsidR="00121A72" w:rsidRPr="008A509D" w:rsidRDefault="00121A72" w:rsidP="00D26929">
            <w:pPr>
              <w:pStyle w:val="zSoquijdatNoDossierAnt"/>
            </w:pPr>
          </w:p>
        </w:tc>
      </w:tr>
      <w:tr w:rsidR="008A509D" w:rsidRPr="008A509D" w14:paraId="0DB2649A" w14:textId="77777777">
        <w:trPr>
          <w:cantSplit/>
          <w:trHeight w:val="235"/>
        </w:trPr>
        <w:tc>
          <w:tcPr>
            <w:tcW w:w="9505" w:type="dxa"/>
            <w:gridSpan w:val="8"/>
          </w:tcPr>
          <w:p w14:paraId="25F045CC" w14:textId="77777777" w:rsidR="00121A72" w:rsidRPr="008A509D" w:rsidRDefault="00121A72" w:rsidP="00D26929"/>
        </w:tc>
      </w:tr>
      <w:tr w:rsidR="008A509D" w:rsidRPr="008A509D" w14:paraId="3CAEB273" w14:textId="77777777">
        <w:tc>
          <w:tcPr>
            <w:tcW w:w="1036" w:type="dxa"/>
          </w:tcPr>
          <w:p w14:paraId="0FCA11FC" w14:textId="77777777" w:rsidR="00121A72" w:rsidRPr="008A509D" w:rsidRDefault="00121A72" w:rsidP="00D26929">
            <w:pPr>
              <w:pStyle w:val="zSoquijlblDateJugement"/>
            </w:pPr>
            <w:r w:rsidRPr="008A509D">
              <w:t>DATE :</w:t>
            </w:r>
          </w:p>
        </w:tc>
        <w:tc>
          <w:tcPr>
            <w:tcW w:w="8469" w:type="dxa"/>
            <w:gridSpan w:val="7"/>
          </w:tcPr>
          <w:p w14:paraId="5620A033" w14:textId="2697E948" w:rsidR="00121A72" w:rsidRPr="008A509D" w:rsidRDefault="00A00761" w:rsidP="00F84E41">
            <w:pPr>
              <w:pStyle w:val="zSoquijdatDateJugement"/>
            </w:pPr>
            <w:r w:rsidRPr="008A509D">
              <w:t xml:space="preserve">Le </w:t>
            </w:r>
            <w:r w:rsidR="009638B2">
              <w:t>1</w:t>
            </w:r>
            <w:r w:rsidR="009638B2" w:rsidRPr="004B772E">
              <w:rPr>
                <w:vertAlign w:val="superscript"/>
              </w:rPr>
              <w:t>er</w:t>
            </w:r>
            <w:r w:rsidR="009638B2">
              <w:t xml:space="preserve"> septembre</w:t>
            </w:r>
            <w:r w:rsidR="000C66A3">
              <w:t xml:space="preserve"> </w:t>
            </w:r>
            <w:r w:rsidR="00AB1AAF" w:rsidRPr="008A509D">
              <w:t>202</w:t>
            </w:r>
            <w:r w:rsidR="00AF3D61" w:rsidRPr="008A509D">
              <w:t>6</w:t>
            </w:r>
          </w:p>
        </w:tc>
      </w:tr>
      <w:tr w:rsidR="008A509D" w:rsidRPr="008A509D" w14:paraId="55B32560" w14:textId="77777777">
        <w:tc>
          <w:tcPr>
            <w:tcW w:w="9505" w:type="dxa"/>
            <w:gridSpan w:val="8"/>
          </w:tcPr>
          <w:p w14:paraId="1500AB2A" w14:textId="77777777" w:rsidR="00121A72" w:rsidRPr="008A509D" w:rsidRDefault="00121A72" w:rsidP="00D26929">
            <w:pPr>
              <w:ind w:left="14" w:right="-67"/>
            </w:pPr>
            <w:r w:rsidRPr="008A509D">
              <w:t>______________________________________________________________________</w:t>
            </w:r>
          </w:p>
        </w:tc>
      </w:tr>
      <w:tr w:rsidR="008A509D" w:rsidRPr="008A509D" w14:paraId="27BCE255" w14:textId="77777777">
        <w:tc>
          <w:tcPr>
            <w:tcW w:w="9505" w:type="dxa"/>
            <w:gridSpan w:val="8"/>
          </w:tcPr>
          <w:p w14:paraId="54ADB9C7" w14:textId="77777777" w:rsidR="00121A72" w:rsidRPr="008A509D" w:rsidRDefault="00121A72" w:rsidP="00D26929"/>
        </w:tc>
      </w:tr>
      <w:tr w:rsidR="008A509D" w:rsidRPr="00F165DB" w14:paraId="5F6A3F5C" w14:textId="77777777">
        <w:tblPrEx>
          <w:tblCellMar>
            <w:left w:w="0" w:type="dxa"/>
            <w:right w:w="0" w:type="dxa"/>
          </w:tblCellMar>
        </w:tblPrEx>
        <w:tc>
          <w:tcPr>
            <w:tcW w:w="3200" w:type="dxa"/>
            <w:gridSpan w:val="5"/>
          </w:tcPr>
          <w:p w14:paraId="1443A4F5" w14:textId="77777777" w:rsidR="00121A72" w:rsidRPr="008A509D" w:rsidRDefault="00121A72" w:rsidP="00D26929">
            <w:pPr>
              <w:pStyle w:val="zSoquijlblJuge"/>
            </w:pPr>
            <w:r w:rsidRPr="008A509D">
              <w:t>SOUS LA PRÉSIDENCE DE</w:t>
            </w:r>
          </w:p>
        </w:tc>
        <w:tc>
          <w:tcPr>
            <w:tcW w:w="1826" w:type="dxa"/>
          </w:tcPr>
          <w:p w14:paraId="021C08D3" w14:textId="77777777" w:rsidR="00121A72" w:rsidRPr="008A509D" w:rsidRDefault="00121A72" w:rsidP="00D26929">
            <w:pPr>
              <w:pStyle w:val="zSoquijdatQteJuge"/>
            </w:pPr>
            <w:r w:rsidRPr="008A509D">
              <w:t>L’HONORABLE</w:t>
            </w:r>
          </w:p>
        </w:tc>
        <w:tc>
          <w:tcPr>
            <w:tcW w:w="4479" w:type="dxa"/>
            <w:gridSpan w:val="2"/>
          </w:tcPr>
          <w:p w14:paraId="088B3483" w14:textId="77777777" w:rsidR="00121A72" w:rsidRPr="008A509D" w:rsidRDefault="00D11B8E" w:rsidP="00D11B8E">
            <w:pPr>
              <w:pStyle w:val="zSoquijdatJuge"/>
              <w:rPr>
                <w:lang w:val="es-419"/>
              </w:rPr>
            </w:pPr>
            <w:r w:rsidRPr="008A509D">
              <w:rPr>
                <w:caps/>
                <w:lang w:val="es-419"/>
              </w:rPr>
              <w:t>lukasz granosik</w:t>
            </w:r>
            <w:r w:rsidR="008A4532" w:rsidRPr="008A509D">
              <w:rPr>
                <w:lang w:val="es-419"/>
              </w:rPr>
              <w:t xml:space="preserve">, </w:t>
            </w:r>
            <w:r w:rsidR="00DD58E8" w:rsidRPr="008A509D">
              <w:rPr>
                <w:lang w:val="es-419"/>
              </w:rPr>
              <w:t>j.c.s.</w:t>
            </w:r>
          </w:p>
        </w:tc>
      </w:tr>
      <w:tr w:rsidR="008A509D" w:rsidRPr="008A509D" w14:paraId="4798C352" w14:textId="77777777">
        <w:tc>
          <w:tcPr>
            <w:tcW w:w="9505" w:type="dxa"/>
            <w:gridSpan w:val="8"/>
          </w:tcPr>
          <w:p w14:paraId="0A0D9EFB" w14:textId="77777777" w:rsidR="00121A72" w:rsidRPr="008A509D" w:rsidRDefault="00121A72" w:rsidP="00D26929">
            <w:pPr>
              <w:ind w:left="14" w:right="-67"/>
            </w:pPr>
            <w:r w:rsidRPr="008A509D">
              <w:t>______________________________________________________________________</w:t>
            </w:r>
          </w:p>
        </w:tc>
      </w:tr>
      <w:tr w:rsidR="008A509D" w:rsidRPr="008A509D" w14:paraId="2D29A417" w14:textId="77777777">
        <w:tc>
          <w:tcPr>
            <w:tcW w:w="9505" w:type="dxa"/>
            <w:gridSpan w:val="8"/>
          </w:tcPr>
          <w:p w14:paraId="4A8A0D36" w14:textId="77777777" w:rsidR="00121A72" w:rsidRPr="008A509D" w:rsidRDefault="00121A72" w:rsidP="00D26929">
            <w:pPr>
              <w:pStyle w:val="zSoquijlblTitrePartie"/>
            </w:pPr>
          </w:p>
        </w:tc>
      </w:tr>
      <w:tr w:rsidR="008A509D" w:rsidRPr="008A509D" w14:paraId="674D9B07" w14:textId="77777777">
        <w:tc>
          <w:tcPr>
            <w:tcW w:w="9505" w:type="dxa"/>
            <w:gridSpan w:val="8"/>
          </w:tcPr>
          <w:p w14:paraId="3188C72B" w14:textId="05BB33D7" w:rsidR="00F84E41" w:rsidRPr="008A509D" w:rsidRDefault="00F72737" w:rsidP="007F3430">
            <w:pPr>
              <w:pStyle w:val="zSoquijdatNomPartieDem"/>
              <w:rPr>
                <w:sz w:val="20"/>
                <w:szCs w:val="24"/>
                <w:lang w:val="fr-FR"/>
              </w:rPr>
            </w:pPr>
            <w:r w:rsidRPr="008A509D">
              <w:rPr>
                <w:lang w:val="fr-FR"/>
              </w:rPr>
              <w:t xml:space="preserve">GENEVIÈVE HINSE </w:t>
            </w:r>
          </w:p>
        </w:tc>
      </w:tr>
      <w:tr w:rsidR="008A509D" w:rsidRPr="008A509D" w14:paraId="10A608DB" w14:textId="77777777">
        <w:tc>
          <w:tcPr>
            <w:tcW w:w="9505" w:type="dxa"/>
            <w:gridSpan w:val="8"/>
          </w:tcPr>
          <w:p w14:paraId="274156A7" w14:textId="77777777" w:rsidR="00121A72" w:rsidRPr="008A509D" w:rsidRDefault="005E21E9" w:rsidP="00D26929">
            <w:pPr>
              <w:pStyle w:val="zSoquijdatQtePartieDem"/>
            </w:pPr>
            <w:r w:rsidRPr="008A509D">
              <w:t>Demande</w:t>
            </w:r>
            <w:r w:rsidR="0086649C" w:rsidRPr="008A509D">
              <w:t>resse</w:t>
            </w:r>
          </w:p>
        </w:tc>
      </w:tr>
      <w:tr w:rsidR="008A509D" w:rsidRPr="008A509D" w14:paraId="5C48F08B" w14:textId="77777777">
        <w:tc>
          <w:tcPr>
            <w:tcW w:w="9505" w:type="dxa"/>
            <w:gridSpan w:val="8"/>
          </w:tcPr>
          <w:p w14:paraId="4CAE7846" w14:textId="77777777" w:rsidR="00121A72" w:rsidRPr="008A509D" w:rsidRDefault="00121A72" w:rsidP="00D26929">
            <w:pPr>
              <w:pStyle w:val="zSoquijlblLienParties"/>
            </w:pPr>
            <w:r w:rsidRPr="008A509D">
              <w:t>c.</w:t>
            </w:r>
          </w:p>
        </w:tc>
      </w:tr>
      <w:tr w:rsidR="008A509D" w:rsidRPr="008A509D" w14:paraId="53E66331" w14:textId="77777777" w:rsidTr="00CF64D4">
        <w:tc>
          <w:tcPr>
            <w:tcW w:w="9505" w:type="dxa"/>
            <w:gridSpan w:val="8"/>
          </w:tcPr>
          <w:p w14:paraId="7540D989" w14:textId="14E5EBFB" w:rsidR="00CF64D4" w:rsidRPr="008A509D" w:rsidRDefault="00F72737" w:rsidP="00CF64D4">
            <w:pPr>
              <w:pStyle w:val="zSoquijdatNomPartieDef"/>
            </w:pPr>
            <w:r w:rsidRPr="008A509D">
              <w:t xml:space="preserve">MARWAH </w:t>
            </w:r>
            <w:r w:rsidRPr="009561DA">
              <w:t>RIZQ</w:t>
            </w:r>
            <w:r w:rsidR="00F87C55" w:rsidRPr="009561DA">
              <w:t>Y</w:t>
            </w:r>
          </w:p>
        </w:tc>
      </w:tr>
      <w:tr w:rsidR="008A509D" w:rsidRPr="008A509D" w14:paraId="43F8760B" w14:textId="77777777">
        <w:tc>
          <w:tcPr>
            <w:tcW w:w="9505" w:type="dxa"/>
            <w:gridSpan w:val="8"/>
          </w:tcPr>
          <w:p w14:paraId="4878238B" w14:textId="77777777" w:rsidR="00121A72" w:rsidRPr="008A509D" w:rsidRDefault="00BE4800" w:rsidP="00D26929">
            <w:pPr>
              <w:pStyle w:val="zSoquijdatQtePartieDef"/>
            </w:pPr>
            <w:r w:rsidRPr="008A509D">
              <w:t>Défenderesse</w:t>
            </w:r>
          </w:p>
        </w:tc>
      </w:tr>
      <w:tr w:rsidR="008A509D" w:rsidRPr="008A509D" w14:paraId="2738F3BE" w14:textId="77777777">
        <w:tc>
          <w:tcPr>
            <w:tcW w:w="9505" w:type="dxa"/>
            <w:gridSpan w:val="8"/>
          </w:tcPr>
          <w:p w14:paraId="6B89F997" w14:textId="77777777" w:rsidR="00121A72" w:rsidRPr="008A509D" w:rsidRDefault="00121A72" w:rsidP="00D26929">
            <w:pPr>
              <w:ind w:left="14" w:right="-95"/>
            </w:pPr>
            <w:r w:rsidRPr="008A509D">
              <w:t>______________________________________________________________________</w:t>
            </w:r>
          </w:p>
        </w:tc>
      </w:tr>
      <w:tr w:rsidR="008A509D" w:rsidRPr="008A509D" w14:paraId="3D2A5F99" w14:textId="77777777">
        <w:tc>
          <w:tcPr>
            <w:tcW w:w="9505" w:type="dxa"/>
            <w:gridSpan w:val="8"/>
          </w:tcPr>
          <w:p w14:paraId="4EEB8A6D" w14:textId="77777777" w:rsidR="004559A2" w:rsidRPr="008A509D" w:rsidRDefault="004559A2" w:rsidP="00D26929">
            <w:pPr>
              <w:ind w:left="14" w:right="-95"/>
            </w:pPr>
          </w:p>
        </w:tc>
      </w:tr>
      <w:tr w:rsidR="008A509D" w:rsidRPr="008A509D" w14:paraId="76BA5B25" w14:textId="77777777">
        <w:tc>
          <w:tcPr>
            <w:tcW w:w="9505" w:type="dxa"/>
            <w:gridSpan w:val="8"/>
          </w:tcPr>
          <w:p w14:paraId="1DA24EEB" w14:textId="77777777" w:rsidR="00121A72" w:rsidRPr="008A509D" w:rsidRDefault="00121A72" w:rsidP="00D26929">
            <w:pPr>
              <w:pStyle w:val="zSoquijlblTypeDocument"/>
              <w:rPr>
                <w:b/>
              </w:rPr>
            </w:pPr>
            <w:r w:rsidRPr="008A509D">
              <w:rPr>
                <w:b/>
              </w:rPr>
              <w:t>JUGEMENT</w:t>
            </w:r>
          </w:p>
        </w:tc>
      </w:tr>
      <w:tr w:rsidR="008A509D" w:rsidRPr="008A509D" w14:paraId="6163DBF3" w14:textId="77777777">
        <w:tc>
          <w:tcPr>
            <w:tcW w:w="9505" w:type="dxa"/>
            <w:gridSpan w:val="8"/>
          </w:tcPr>
          <w:p w14:paraId="6647891C" w14:textId="0D68C02E" w:rsidR="00DD58E8" w:rsidRPr="008A509D" w:rsidRDefault="00DD58E8" w:rsidP="005E21E9">
            <w:pPr>
              <w:ind w:left="14" w:right="-70"/>
              <w:jc w:val="center"/>
            </w:pPr>
            <w:r w:rsidRPr="008A509D">
              <w:t>(</w:t>
            </w:r>
            <w:proofErr w:type="gramStart"/>
            <w:r w:rsidR="00F72737" w:rsidRPr="008A509D">
              <w:t>privilège</w:t>
            </w:r>
            <w:proofErr w:type="gramEnd"/>
            <w:r w:rsidR="00F72737" w:rsidRPr="008A509D">
              <w:t xml:space="preserve"> parlementaire</w:t>
            </w:r>
            <w:r w:rsidRPr="008A509D">
              <w:t>)</w:t>
            </w:r>
          </w:p>
        </w:tc>
      </w:tr>
      <w:tr w:rsidR="008A509D" w:rsidRPr="008A509D" w14:paraId="62E84344" w14:textId="77777777">
        <w:tc>
          <w:tcPr>
            <w:tcW w:w="9505" w:type="dxa"/>
            <w:gridSpan w:val="8"/>
          </w:tcPr>
          <w:p w14:paraId="4EF9DEE1" w14:textId="77777777" w:rsidR="00121A72" w:rsidRPr="008A509D" w:rsidRDefault="00121A72" w:rsidP="00D26929">
            <w:pPr>
              <w:ind w:left="14" w:right="-70"/>
            </w:pPr>
            <w:r w:rsidRPr="008A509D">
              <w:t>______________________________________________________________________</w:t>
            </w:r>
          </w:p>
        </w:tc>
      </w:tr>
      <w:tr w:rsidR="008A509D" w:rsidRPr="008A509D" w14:paraId="7D84FB04" w14:textId="77777777">
        <w:tc>
          <w:tcPr>
            <w:tcW w:w="9505" w:type="dxa"/>
            <w:gridSpan w:val="8"/>
          </w:tcPr>
          <w:p w14:paraId="03696644" w14:textId="77777777" w:rsidR="00121A72" w:rsidRPr="008A509D" w:rsidRDefault="00121A72" w:rsidP="00D26929"/>
        </w:tc>
      </w:tr>
      <w:tr w:rsidR="008A509D" w:rsidRPr="008A509D" w14:paraId="74C97816" w14:textId="77777777">
        <w:tc>
          <w:tcPr>
            <w:tcW w:w="9505" w:type="dxa"/>
            <w:gridSpan w:val="8"/>
          </w:tcPr>
          <w:p w14:paraId="719ED11F" w14:textId="77777777" w:rsidR="00BE4800" w:rsidRPr="008A509D" w:rsidRDefault="00BE4800" w:rsidP="00D26929"/>
        </w:tc>
      </w:tr>
    </w:tbl>
    <w:tbl>
      <w:tblPr>
        <w:tblpPr w:leftFromText="141" w:rightFromText="141" w:vertAnchor="text" w:horzAnchor="page" w:tblpX="53" w:tblpY="480"/>
        <w:tblW w:w="0" w:type="auto"/>
        <w:tblLayout w:type="fixed"/>
        <w:tblCellMar>
          <w:left w:w="70" w:type="dxa"/>
          <w:right w:w="70" w:type="dxa"/>
        </w:tblCellMar>
        <w:tblLook w:val="0000" w:firstRow="0" w:lastRow="0" w:firstColumn="0" w:lastColumn="0" w:noHBand="0" w:noVBand="0"/>
      </w:tblPr>
      <w:tblGrid>
        <w:gridCol w:w="1170"/>
      </w:tblGrid>
      <w:tr w:rsidR="008A509D" w:rsidRPr="008A509D" w14:paraId="53BA71A1" w14:textId="77777777" w:rsidTr="004A0A68">
        <w:trPr>
          <w:trHeight w:val="1173"/>
        </w:trPr>
        <w:tc>
          <w:tcPr>
            <w:tcW w:w="1170" w:type="dxa"/>
            <w:vAlign w:val="bottom"/>
          </w:tcPr>
          <w:p w14:paraId="748F3300" w14:textId="77777777" w:rsidR="004A0A68" w:rsidRPr="008A509D" w:rsidRDefault="004A0A68" w:rsidP="004A0A68">
            <w:pPr>
              <w:pStyle w:val="zSoquijdatIdJuge"/>
              <w:rPr>
                <w:sz w:val="22"/>
                <w:szCs w:val="22"/>
              </w:rPr>
            </w:pPr>
            <w:r w:rsidRPr="008A509D">
              <w:rPr>
                <w:sz w:val="22"/>
                <w:szCs w:val="22"/>
              </w:rPr>
              <w:t>JG2551</w:t>
            </w:r>
          </w:p>
          <w:p w14:paraId="34A47B84" w14:textId="77777777" w:rsidR="004A0A68" w:rsidRPr="008A509D" w:rsidRDefault="004A0A68" w:rsidP="004A0A68">
            <w:pPr>
              <w:pStyle w:val="zSoquijdatIdJuge"/>
            </w:pPr>
          </w:p>
          <w:p w14:paraId="25233BD0" w14:textId="77777777" w:rsidR="004A0A68" w:rsidRPr="008A509D" w:rsidRDefault="004A0A68" w:rsidP="004A0A68">
            <w:pPr>
              <w:pStyle w:val="zSoquijdatIdJuge"/>
            </w:pPr>
          </w:p>
        </w:tc>
      </w:tr>
    </w:tbl>
    <w:p w14:paraId="6BC2F971" w14:textId="644AAF2F" w:rsidR="005267CB" w:rsidRPr="008A509D" w:rsidRDefault="008A7E08" w:rsidP="005267CB">
      <w:pPr>
        <w:pStyle w:val="Paragr6ptavantetaprsInterlignemultiple1"/>
        <w:spacing w:line="276" w:lineRule="auto"/>
      </w:pPr>
      <w:r w:rsidRPr="008A509D">
        <w:t xml:space="preserve">La demanderesse </w:t>
      </w:r>
      <w:r w:rsidR="005D62FF">
        <w:t xml:space="preserve">réclame 500 000 $ de </w:t>
      </w:r>
      <w:r w:rsidRPr="008A509D">
        <w:t xml:space="preserve">la défenderesse en dommages moraux et punitifs à la suite de son congédiement de son poste de directrice de cabinet de la cheffe de l’Opposition officielle à l’Assemblée nationale du Québec. </w:t>
      </w:r>
      <w:r w:rsidR="005D62FF">
        <w:t xml:space="preserve">Ce congédiement met en cause la question de </w:t>
      </w:r>
      <w:r w:rsidR="005267CB" w:rsidRPr="008A509D">
        <w:t>l’utilisation des ressources de l’Assemblée nationale à des fins partisanes, ce qui est proscrit.</w:t>
      </w:r>
    </w:p>
    <w:p w14:paraId="4E4DE699" w14:textId="539AC131" w:rsidR="00435A22" w:rsidRPr="008A509D" w:rsidRDefault="008A7E08" w:rsidP="00435A22">
      <w:pPr>
        <w:pStyle w:val="Paragr6ptavantetaprsInterlignemultiple1"/>
      </w:pPr>
      <w:r w:rsidRPr="008A509D">
        <w:t>La défenderesse plaide que la demanderesse a été congédiée pour cause</w:t>
      </w:r>
      <w:r w:rsidR="00170E9B">
        <w:t>,</w:t>
      </w:r>
      <w:r w:rsidRPr="008A509D">
        <w:t xml:space="preserve"> </w:t>
      </w:r>
      <w:r w:rsidR="005267CB" w:rsidRPr="008A509D">
        <w:t xml:space="preserve">car </w:t>
      </w:r>
      <w:r w:rsidR="005D62FF">
        <w:t xml:space="preserve">elle </w:t>
      </w:r>
      <w:r w:rsidR="005267CB" w:rsidRPr="008A509D">
        <w:t xml:space="preserve">aurait </w:t>
      </w:r>
      <w:r w:rsidR="00435A22" w:rsidRPr="008A509D">
        <w:t xml:space="preserve">transgressé des règles d’éthique </w:t>
      </w:r>
      <w:r w:rsidR="00861B7E">
        <w:t xml:space="preserve">à ce sujet </w:t>
      </w:r>
      <w:r w:rsidR="00435A22" w:rsidRPr="008A509D">
        <w:t>et aurait fait preuve d’insubordination</w:t>
      </w:r>
      <w:r w:rsidR="00AC2E5F">
        <w:t>. L</w:t>
      </w:r>
      <w:r w:rsidR="00435A22" w:rsidRPr="008A509D">
        <w:t>a demanderesse allègue exactement le contraire et reproche à la défenderesse d’avoir refusé de poser des gestes afin de s'assurer que la répartition des dépenses se fasse en toute légalité</w:t>
      </w:r>
      <w:r w:rsidR="005D62FF">
        <w:t>,</w:t>
      </w:r>
      <w:r w:rsidR="00435A22" w:rsidRPr="008A509D">
        <w:t xml:space="preserve"> considérant la dynamique particulière créée par le fait que le chef d</w:t>
      </w:r>
      <w:r w:rsidR="005D62FF">
        <w:t>u</w:t>
      </w:r>
      <w:r w:rsidR="00435A22" w:rsidRPr="008A509D">
        <w:t xml:space="preserve"> parti ne </w:t>
      </w:r>
      <w:r w:rsidR="00AC2E5F" w:rsidRPr="008A509D">
        <w:t>siége</w:t>
      </w:r>
      <w:r w:rsidR="00AC2E5F">
        <w:t>ait</w:t>
      </w:r>
      <w:r w:rsidR="005D62FF">
        <w:t xml:space="preserve"> alors</w:t>
      </w:r>
      <w:r w:rsidR="00435A22" w:rsidRPr="008A509D">
        <w:t xml:space="preserve"> pas à l'Assemblée nationale et par </w:t>
      </w:r>
      <w:r w:rsidR="00861B7E">
        <w:t xml:space="preserve">la création </w:t>
      </w:r>
      <w:r w:rsidR="00861B7E">
        <w:lastRenderedPageBreak/>
        <w:t>des</w:t>
      </w:r>
      <w:r w:rsidR="00435A22" w:rsidRPr="008A509D">
        <w:t xml:space="preserve"> postes </w:t>
      </w:r>
      <w:r w:rsidR="005D62FF">
        <w:t>dits « </w:t>
      </w:r>
      <w:r w:rsidR="00435A22" w:rsidRPr="008A509D">
        <w:t>hybrides</w:t>
      </w:r>
      <w:r w:rsidR="005D62FF">
        <w:t> », occupés par des personnes dont les tâches relève</w:t>
      </w:r>
      <w:r w:rsidR="00AC2E5F">
        <w:t>raient</w:t>
      </w:r>
      <w:r w:rsidR="005D62FF">
        <w:t xml:space="preserve"> à la fois</w:t>
      </w:r>
      <w:r w:rsidR="00AC2E5F">
        <w:t xml:space="preserve"> </w:t>
      </w:r>
      <w:r w:rsidR="005D62FF">
        <w:t>des fins parlementaires et partisanes</w:t>
      </w:r>
      <w:r w:rsidR="00435A22" w:rsidRPr="008A509D">
        <w:t>.</w:t>
      </w:r>
    </w:p>
    <w:p w14:paraId="11158D89" w14:textId="787FD95E" w:rsidR="005267CB" w:rsidRPr="008A509D" w:rsidRDefault="00861B7E" w:rsidP="00CB2EF2">
      <w:pPr>
        <w:pStyle w:val="Paragr6ptavantetaprsInterlignemultiple1"/>
        <w:spacing w:line="276" w:lineRule="auto"/>
      </w:pPr>
      <w:r>
        <w:t>Aujourd’hui, l</w:t>
      </w:r>
      <w:r w:rsidR="00CB2EF2" w:rsidRPr="008A509D">
        <w:t>a défenderesse</w:t>
      </w:r>
      <w:r w:rsidR="008A7E08" w:rsidRPr="008A509D">
        <w:t xml:space="preserve"> présente une exception déclinatoire basée sur le privilège parlementaire. Elle avance que sa décision </w:t>
      </w:r>
      <w:r w:rsidR="00B7151C">
        <w:t xml:space="preserve">de congédier la demanderesse </w:t>
      </w:r>
      <w:r w:rsidR="00C26489" w:rsidRPr="008A509D">
        <w:t>est protégée par ce privilège et qu’elle doit bénéficier de l’immunité</w:t>
      </w:r>
      <w:r w:rsidR="005D62FF">
        <w:t xml:space="preserve"> </w:t>
      </w:r>
      <w:r w:rsidR="00C26489" w:rsidRPr="008A509D">
        <w:t>qui prive</w:t>
      </w:r>
      <w:r w:rsidR="005D62FF">
        <w:t>rait</w:t>
      </w:r>
      <w:r w:rsidR="00C26489" w:rsidRPr="008A509D">
        <w:t xml:space="preserve"> le</w:t>
      </w:r>
      <w:r w:rsidR="005D62FF">
        <w:t>s</w:t>
      </w:r>
      <w:r w:rsidR="00C26489" w:rsidRPr="008A509D">
        <w:t xml:space="preserve"> tribunaux de droit commun de </w:t>
      </w:r>
      <w:r w:rsidR="00CB2EF2" w:rsidRPr="008A509D">
        <w:t>toute</w:t>
      </w:r>
      <w:r w:rsidR="00C26489" w:rsidRPr="008A509D">
        <w:t xml:space="preserve"> compétence en cette matière.</w:t>
      </w:r>
      <w:r w:rsidR="008A7E08" w:rsidRPr="008A509D">
        <w:t xml:space="preserve">  </w:t>
      </w:r>
      <w:r w:rsidR="005267CB" w:rsidRPr="008A509D">
        <w:t xml:space="preserve">Selon </w:t>
      </w:r>
      <w:r w:rsidR="00CB2EF2" w:rsidRPr="008A509D">
        <w:t>elle,</w:t>
      </w:r>
      <w:r w:rsidR="005267CB" w:rsidRPr="008A509D">
        <w:t xml:space="preserve"> </w:t>
      </w:r>
      <w:r w:rsidR="00CB2EF2" w:rsidRPr="008A509D">
        <w:t>une</w:t>
      </w:r>
      <w:r w:rsidR="005267CB" w:rsidRPr="008A509D">
        <w:t xml:space="preserve"> intervention judiciaire dans la gestion de son personnel, et en particulier dans </w:t>
      </w:r>
      <w:r w:rsidR="00B7151C">
        <w:t>une</w:t>
      </w:r>
      <w:r w:rsidR="005267CB" w:rsidRPr="008A509D">
        <w:t xml:space="preserve"> décision </w:t>
      </w:r>
      <w:r w:rsidR="00B7151C">
        <w:t xml:space="preserve">concernant l’emploi de </w:t>
      </w:r>
      <w:r w:rsidR="005D62FF">
        <w:t>s</w:t>
      </w:r>
      <w:r w:rsidR="005267CB" w:rsidRPr="008A509D">
        <w:t xml:space="preserve">a directrice de cabinet, violerait le principe de séparation des pouvoirs. Elle demande donc </w:t>
      </w:r>
      <w:r w:rsidR="005D62FF">
        <w:t xml:space="preserve">à la Cour </w:t>
      </w:r>
      <w:r w:rsidR="005267CB" w:rsidRPr="008A509D">
        <w:t xml:space="preserve">de reconnaître </w:t>
      </w:r>
      <w:r w:rsidR="00CB2EF2" w:rsidRPr="008A509D">
        <w:t xml:space="preserve">l’application du privilège parlementaire </w:t>
      </w:r>
      <w:r w:rsidR="005D62FF">
        <w:t xml:space="preserve">en l’espèce </w:t>
      </w:r>
      <w:r w:rsidR="00CB2EF2" w:rsidRPr="008A509D">
        <w:t xml:space="preserve">et </w:t>
      </w:r>
      <w:r w:rsidR="005267CB" w:rsidRPr="008A509D">
        <w:t xml:space="preserve">de décliner compétence. </w:t>
      </w:r>
    </w:p>
    <w:p w14:paraId="4BB2494B" w14:textId="77777777" w:rsidR="00CB2EF2" w:rsidRPr="008A509D" w:rsidRDefault="00CB2EF2" w:rsidP="00CB2EF2">
      <w:pPr>
        <w:pStyle w:val="Paragr6ptavantetaprsInterlignemultiple1"/>
        <w:numPr>
          <w:ilvl w:val="0"/>
          <w:numId w:val="0"/>
        </w:numPr>
        <w:spacing w:line="276" w:lineRule="auto"/>
        <w:jc w:val="center"/>
      </w:pPr>
      <w:r w:rsidRPr="008A509D">
        <w:rPr>
          <w:b/>
        </w:rPr>
        <w:t>* * * * *</w:t>
      </w:r>
    </w:p>
    <w:p w14:paraId="63D656EE" w14:textId="6E5883DB" w:rsidR="00EE2C09" w:rsidRPr="008A509D" w:rsidRDefault="00E8652A" w:rsidP="00BA0D24">
      <w:pPr>
        <w:pStyle w:val="Paragr6ptavantetaprsInterlignemultiple1"/>
        <w:spacing w:line="276" w:lineRule="auto"/>
      </w:pPr>
      <w:r w:rsidRPr="008A509D">
        <w:t xml:space="preserve">Le privilège parlementaire constitue </w:t>
      </w:r>
      <w:r w:rsidR="005D62FF">
        <w:t xml:space="preserve">une des </w:t>
      </w:r>
      <w:r w:rsidRPr="008A509D">
        <w:t>garantie</w:t>
      </w:r>
      <w:r w:rsidR="005D62FF">
        <w:t>s</w:t>
      </w:r>
      <w:r w:rsidRPr="008A509D">
        <w:t xml:space="preserve"> permettant de mettre en œuvre le principe fondamental de la séparation constitutionnelle des pouvoirs entre </w:t>
      </w:r>
      <w:proofErr w:type="gramStart"/>
      <w:r w:rsidRPr="008A509D">
        <w:t>les branches législative</w:t>
      </w:r>
      <w:proofErr w:type="gramEnd"/>
      <w:r w:rsidRPr="008A509D">
        <w:t xml:space="preserve">, exécutive et judiciaire. Il déroge </w:t>
      </w:r>
      <w:r w:rsidR="005D62FF">
        <w:t>a</w:t>
      </w:r>
      <w:r w:rsidRPr="008A509D">
        <w:t xml:space="preserve">u droit commun et </w:t>
      </w:r>
      <w:r w:rsidR="00B933D5">
        <w:t xml:space="preserve">il </w:t>
      </w:r>
      <w:r w:rsidR="00741DFE" w:rsidRPr="008A509D">
        <w:t>est</w:t>
      </w:r>
      <w:r w:rsidRPr="008A509D">
        <w:t xml:space="preserve"> nécessaire pour que les membres des assemblées législatives exercent leur rôle en toute indépendance.</w:t>
      </w:r>
      <w:r w:rsidR="00BA0D24">
        <w:t xml:space="preserve"> </w:t>
      </w:r>
      <w:r w:rsidR="00741DFE" w:rsidRPr="008A509D">
        <w:t xml:space="preserve">Ce privilège </w:t>
      </w:r>
      <w:r w:rsidR="005D62FF">
        <w:t xml:space="preserve">tire son </w:t>
      </w:r>
      <w:r w:rsidRPr="008A509D">
        <w:t>origine de l’</w:t>
      </w:r>
      <w:r w:rsidR="00EE2C09" w:rsidRPr="008A509D">
        <w:t xml:space="preserve">article 9 du </w:t>
      </w:r>
      <w:r w:rsidR="00EE2C09" w:rsidRPr="00BA0D24">
        <w:rPr>
          <w:i/>
          <w:iCs/>
        </w:rPr>
        <w:t>Bill of Rights de 1689</w:t>
      </w:r>
      <w:r w:rsidR="00EE2C09" w:rsidRPr="008A509D">
        <w:rPr>
          <w:rStyle w:val="Appelnotedebasdep"/>
          <w:lang w:val="en-CA"/>
        </w:rPr>
        <w:footnoteReference w:id="1"/>
      </w:r>
      <w:r w:rsidR="00EE2C09" w:rsidRPr="008A509D">
        <w:t xml:space="preserve"> : </w:t>
      </w:r>
    </w:p>
    <w:p w14:paraId="60F447E2" w14:textId="5FD0B664" w:rsidR="00EE2C09" w:rsidRPr="0017003D" w:rsidRDefault="00EE2C09" w:rsidP="0017003D">
      <w:pPr>
        <w:pStyle w:val="Paragr6ptavantetaprsInterlignemultiple1"/>
        <w:numPr>
          <w:ilvl w:val="0"/>
          <w:numId w:val="0"/>
        </w:numPr>
        <w:spacing w:line="240" w:lineRule="auto"/>
        <w:ind w:left="731" w:right="715"/>
        <w:rPr>
          <w:sz w:val="22"/>
          <w:szCs w:val="18"/>
          <w:lang w:val="en-CA"/>
        </w:rPr>
      </w:pPr>
      <w:r w:rsidRPr="0017003D">
        <w:rPr>
          <w:b/>
          <w:bCs/>
          <w:sz w:val="22"/>
          <w:szCs w:val="18"/>
          <w:lang w:val="en-CA"/>
        </w:rPr>
        <w:t>9</w:t>
      </w:r>
      <w:r w:rsidRPr="0017003D">
        <w:rPr>
          <w:sz w:val="22"/>
          <w:szCs w:val="18"/>
          <w:lang w:val="en-CA"/>
        </w:rPr>
        <w:t xml:space="preserve">. </w:t>
      </w:r>
      <w:r w:rsidR="006F3738" w:rsidRPr="0017003D">
        <w:rPr>
          <w:sz w:val="22"/>
          <w:szCs w:val="18"/>
          <w:lang w:val="en-CA"/>
        </w:rPr>
        <w:t>[</w:t>
      </w:r>
      <w:r w:rsidRPr="0017003D">
        <w:rPr>
          <w:sz w:val="22"/>
          <w:szCs w:val="18"/>
          <w:lang w:val="en-CA"/>
        </w:rPr>
        <w:t>T</w:t>
      </w:r>
      <w:r w:rsidR="006F3738" w:rsidRPr="0017003D">
        <w:rPr>
          <w:sz w:val="22"/>
          <w:szCs w:val="18"/>
          <w:lang w:val="en-CA"/>
        </w:rPr>
        <w:t>]</w:t>
      </w:r>
      <w:r w:rsidRPr="0017003D">
        <w:rPr>
          <w:sz w:val="22"/>
          <w:szCs w:val="18"/>
          <w:lang w:val="en-CA"/>
        </w:rPr>
        <w:t>h</w:t>
      </w:r>
      <w:r w:rsidR="00CA7806" w:rsidRPr="0017003D">
        <w:rPr>
          <w:sz w:val="22"/>
          <w:szCs w:val="18"/>
          <w:lang w:val="en-CA"/>
        </w:rPr>
        <w:t>e freedom of Speech and Debates or Proceedings in Parliament ought not to be impeached or questioned in any Court or Place out of Parliament.</w:t>
      </w:r>
    </w:p>
    <w:p w14:paraId="3D59450A" w14:textId="5682BCD8" w:rsidR="00EE2C09" w:rsidRPr="008A509D" w:rsidRDefault="001E7BB1" w:rsidP="000D56FC">
      <w:pPr>
        <w:pStyle w:val="Paragr6ptavantetaprsInterlignemultiple1"/>
        <w:rPr>
          <w:lang w:eastAsia="fr-CA"/>
        </w:rPr>
      </w:pPr>
      <w:r w:rsidRPr="008A509D">
        <w:t>Contrairement</w:t>
      </w:r>
      <w:r w:rsidR="00EE2C09" w:rsidRPr="008A509D">
        <w:t xml:space="preserve"> à</w:t>
      </w:r>
      <w:r w:rsidR="00435A22" w:rsidRPr="008A509D">
        <w:t xml:space="preserve"> </w:t>
      </w:r>
      <w:r w:rsidR="002A3AA7">
        <w:t xml:space="preserve">certains </w:t>
      </w:r>
      <w:r w:rsidR="00435A22" w:rsidRPr="008A509D">
        <w:t>pays du Commonwealth</w:t>
      </w:r>
      <w:r w:rsidR="00435A22" w:rsidRPr="008A509D">
        <w:rPr>
          <w:rStyle w:val="Appelnotedebasdep"/>
        </w:rPr>
        <w:footnoteReference w:id="2"/>
      </w:r>
      <w:r w:rsidR="00435A22" w:rsidRPr="008A509D">
        <w:t>,</w:t>
      </w:r>
      <w:r w:rsidR="00EE2C09" w:rsidRPr="008A509D">
        <w:t xml:space="preserve"> le Can</w:t>
      </w:r>
      <w:r w:rsidR="009209D9" w:rsidRPr="008A509D">
        <w:t>a</w:t>
      </w:r>
      <w:r w:rsidR="00EE2C09" w:rsidRPr="008A509D">
        <w:t xml:space="preserve">da ne possède pas de loi </w:t>
      </w:r>
      <w:r w:rsidRPr="008A509D">
        <w:t xml:space="preserve">spécifique concernant </w:t>
      </w:r>
      <w:r w:rsidR="00BA0D24">
        <w:t>l</w:t>
      </w:r>
      <w:r w:rsidR="00EE2C09" w:rsidRPr="008A509D">
        <w:t>e privilège</w:t>
      </w:r>
      <w:r w:rsidR="00BA0D24">
        <w:t xml:space="preserve"> </w:t>
      </w:r>
      <w:r w:rsidR="00000853">
        <w:t>parlementaire</w:t>
      </w:r>
      <w:r w:rsidR="005D62FF">
        <w:t>.</w:t>
      </w:r>
      <w:r w:rsidR="006F3738" w:rsidRPr="008A509D">
        <w:t xml:space="preserve"> </w:t>
      </w:r>
      <w:r w:rsidR="005D62FF">
        <w:t xml:space="preserve">Au niveau </w:t>
      </w:r>
      <w:r w:rsidR="00EE2C09" w:rsidRPr="008A509D">
        <w:rPr>
          <w:lang w:eastAsia="fr-CA"/>
        </w:rPr>
        <w:t>fédéral</w:t>
      </w:r>
      <w:r w:rsidR="005D62FF">
        <w:rPr>
          <w:lang w:eastAsia="fr-CA"/>
        </w:rPr>
        <w:t>, il</w:t>
      </w:r>
      <w:r w:rsidR="00EE2C09" w:rsidRPr="008A509D">
        <w:rPr>
          <w:lang w:eastAsia="fr-CA"/>
        </w:rPr>
        <w:t xml:space="preserve"> est </w:t>
      </w:r>
      <w:r w:rsidR="006F3738" w:rsidRPr="008A509D">
        <w:rPr>
          <w:lang w:eastAsia="fr-CA"/>
        </w:rPr>
        <w:t>principalement</w:t>
      </w:r>
      <w:r w:rsidR="00EE2C09" w:rsidRPr="008A509D">
        <w:rPr>
          <w:lang w:eastAsia="fr-CA"/>
        </w:rPr>
        <w:t xml:space="preserve"> reconnu par la Constitution et par la </w:t>
      </w:r>
      <w:r w:rsidR="00EE2C09" w:rsidRPr="008A509D">
        <w:rPr>
          <w:i/>
          <w:iCs/>
          <w:lang w:eastAsia="fr-CA"/>
        </w:rPr>
        <w:t>Loi sur le Parlement du Canada</w:t>
      </w:r>
      <w:r w:rsidRPr="008A509D">
        <w:rPr>
          <w:rStyle w:val="Appelnotedebasdep"/>
          <w:lang w:eastAsia="fr-CA"/>
        </w:rPr>
        <w:footnoteReference w:id="3"/>
      </w:r>
      <w:r w:rsidR="00EE2C09" w:rsidRPr="008A509D">
        <w:rPr>
          <w:lang w:eastAsia="fr-CA"/>
        </w:rPr>
        <w:t xml:space="preserve">. Au Québec, la </w:t>
      </w:r>
      <w:r w:rsidR="00EE2C09" w:rsidRPr="008A509D">
        <w:rPr>
          <w:i/>
          <w:iCs/>
          <w:lang w:eastAsia="fr-CA"/>
        </w:rPr>
        <w:t>Loi sur l’Assemblée nationale</w:t>
      </w:r>
      <w:r w:rsidR="00EE2C09" w:rsidRPr="008A509D">
        <w:rPr>
          <w:rStyle w:val="Appelnotedebasdep"/>
          <w:lang w:eastAsia="fr-CA"/>
        </w:rPr>
        <w:footnoteReference w:id="4"/>
      </w:r>
      <w:r w:rsidR="00EE2C09" w:rsidRPr="008A509D">
        <w:rPr>
          <w:lang w:eastAsia="fr-CA"/>
        </w:rPr>
        <w:t xml:space="preserve"> joue un rôle similaire en reconnaissant les droits, privilèges et immunités nécessaires à l’indépendance de l’Assemblée nationale et de ses députés</w:t>
      </w:r>
      <w:r w:rsidR="00435A22" w:rsidRPr="008A509D">
        <w:rPr>
          <w:lang w:eastAsia="fr-CA"/>
        </w:rPr>
        <w:t xml:space="preserve"> : </w:t>
      </w:r>
    </w:p>
    <w:p w14:paraId="5D5053E7" w14:textId="54E6F9A6" w:rsidR="001E7BB1" w:rsidRPr="008A509D" w:rsidRDefault="001E7BB1" w:rsidP="00170E9B">
      <w:pPr>
        <w:pStyle w:val="Paragr6ptavantetaprsInterlignemultiple1"/>
        <w:numPr>
          <w:ilvl w:val="0"/>
          <w:numId w:val="0"/>
        </w:numPr>
        <w:spacing w:line="240" w:lineRule="auto"/>
        <w:ind w:left="731" w:right="715"/>
        <w:rPr>
          <w:sz w:val="22"/>
          <w:szCs w:val="18"/>
        </w:rPr>
      </w:pPr>
      <w:r w:rsidRPr="008A509D">
        <w:rPr>
          <w:b/>
          <w:bCs/>
          <w:sz w:val="22"/>
          <w:szCs w:val="18"/>
        </w:rPr>
        <w:t>42</w:t>
      </w:r>
      <w:r w:rsidRPr="008A509D">
        <w:rPr>
          <w:sz w:val="22"/>
          <w:szCs w:val="18"/>
        </w:rPr>
        <w:t>. L’Assemblée a le pouvoir de protéger ses travaux contre toute ingérence.</w:t>
      </w:r>
    </w:p>
    <w:p w14:paraId="7CE05F58" w14:textId="54CDEBDD" w:rsidR="001E7BB1" w:rsidRPr="008A509D" w:rsidRDefault="001E7BB1" w:rsidP="0030082D">
      <w:pPr>
        <w:pStyle w:val="Paragr6ptavantetaprsInterlignemultiple1"/>
        <w:numPr>
          <w:ilvl w:val="0"/>
          <w:numId w:val="0"/>
        </w:numPr>
        <w:spacing w:line="240" w:lineRule="auto"/>
        <w:ind w:left="731" w:right="715"/>
        <w:rPr>
          <w:sz w:val="22"/>
          <w:szCs w:val="18"/>
        </w:rPr>
      </w:pPr>
      <w:r w:rsidRPr="008A509D">
        <w:rPr>
          <w:b/>
          <w:bCs/>
          <w:sz w:val="22"/>
          <w:szCs w:val="18"/>
        </w:rPr>
        <w:t>43</w:t>
      </w:r>
      <w:r w:rsidRPr="008A509D">
        <w:rPr>
          <w:sz w:val="22"/>
          <w:szCs w:val="18"/>
        </w:rPr>
        <w:t>. Un député jouit d’une entière indépendance dans l’exercice de ses fonctions.</w:t>
      </w:r>
    </w:p>
    <w:p w14:paraId="2E839550" w14:textId="46B6BF16" w:rsidR="001E7BB1" w:rsidRPr="008A509D" w:rsidRDefault="001E7BB1" w:rsidP="0030082D">
      <w:pPr>
        <w:pStyle w:val="Paragr6ptavantetaprsInterlignemultiple1"/>
        <w:numPr>
          <w:ilvl w:val="0"/>
          <w:numId w:val="0"/>
        </w:numPr>
        <w:spacing w:line="240" w:lineRule="auto"/>
        <w:ind w:left="731" w:right="715"/>
        <w:rPr>
          <w:sz w:val="22"/>
          <w:szCs w:val="18"/>
        </w:rPr>
      </w:pPr>
      <w:r w:rsidRPr="008A509D">
        <w:rPr>
          <w:b/>
          <w:bCs/>
          <w:sz w:val="22"/>
          <w:szCs w:val="18"/>
        </w:rPr>
        <w:t>44.</w:t>
      </w:r>
      <w:r w:rsidRPr="008A509D">
        <w:rPr>
          <w:sz w:val="22"/>
          <w:szCs w:val="18"/>
        </w:rPr>
        <w:t xml:space="preserve"> Un député ne peut être poursuivi, arrêté, ni emprisonné en raison de paroles prononcées, d’un document déposé ou d’un acte parlementaire accompli par lui, dans l’exercice de ses fonctions à l’Assemblée, à une commission ou à une sous-commission.</w:t>
      </w:r>
    </w:p>
    <w:p w14:paraId="16A1B256" w14:textId="34607050" w:rsidR="001E7BB1" w:rsidRPr="008A509D" w:rsidRDefault="001E7BB1" w:rsidP="0030082D">
      <w:pPr>
        <w:pStyle w:val="Paragr6ptavantetaprsInterlignemultiple1"/>
        <w:numPr>
          <w:ilvl w:val="0"/>
          <w:numId w:val="0"/>
        </w:numPr>
        <w:spacing w:line="240" w:lineRule="auto"/>
        <w:ind w:left="731" w:right="715"/>
        <w:rPr>
          <w:sz w:val="22"/>
          <w:szCs w:val="18"/>
        </w:rPr>
      </w:pPr>
      <w:r w:rsidRPr="008A509D">
        <w:rPr>
          <w:b/>
          <w:bCs/>
          <w:sz w:val="22"/>
          <w:szCs w:val="18"/>
        </w:rPr>
        <w:lastRenderedPageBreak/>
        <w:t>54</w:t>
      </w:r>
      <w:r w:rsidRPr="008A509D">
        <w:rPr>
          <w:sz w:val="22"/>
          <w:szCs w:val="18"/>
        </w:rPr>
        <w:t>. Aucune poursuite judiciaire ne peut être intentée en raison d’un acte officiel accompli de bonne foi par une personne dans l’exercice de fonctions qui lui sont attribuées en vertu de la présente loi ou dans l’exécution d’un ordre de l’Assemblée, d’une commission ou d’une sous-commission.</w:t>
      </w:r>
    </w:p>
    <w:p w14:paraId="544346E6" w14:textId="77777777" w:rsidR="001E7BB1" w:rsidRPr="008A509D" w:rsidRDefault="001E7BB1" w:rsidP="0030082D">
      <w:pPr>
        <w:pStyle w:val="Paragr6ptavantetaprsInterlignemultiple1"/>
        <w:numPr>
          <w:ilvl w:val="0"/>
          <w:numId w:val="0"/>
        </w:numPr>
        <w:spacing w:line="240" w:lineRule="auto"/>
        <w:ind w:left="731" w:right="715"/>
        <w:rPr>
          <w:sz w:val="22"/>
          <w:szCs w:val="18"/>
        </w:rPr>
      </w:pPr>
      <w:r w:rsidRPr="008A509D">
        <w:rPr>
          <w:b/>
          <w:bCs/>
          <w:sz w:val="22"/>
          <w:szCs w:val="18"/>
        </w:rPr>
        <w:t>55.</w:t>
      </w:r>
      <w:r w:rsidRPr="008A509D">
        <w:rPr>
          <w:sz w:val="22"/>
          <w:szCs w:val="18"/>
        </w:rPr>
        <w:t xml:space="preserve"> Nul ne peut porter atteinte aux droits de l’Assemblée. Constitue notamment une atteinte aux droits de l’Assemblée le fait de:</w:t>
      </w:r>
    </w:p>
    <w:p w14:paraId="64766A73" w14:textId="77777777" w:rsidR="00E275BE" w:rsidRPr="008A509D" w:rsidRDefault="00E275BE" w:rsidP="0030082D">
      <w:pPr>
        <w:pStyle w:val="Paragr6ptavantetaprsInterlignemultiple1"/>
        <w:numPr>
          <w:ilvl w:val="0"/>
          <w:numId w:val="0"/>
        </w:numPr>
        <w:spacing w:before="60" w:after="60" w:line="240" w:lineRule="auto"/>
        <w:ind w:left="731" w:right="715"/>
        <w:rPr>
          <w:sz w:val="22"/>
          <w:szCs w:val="18"/>
        </w:rPr>
      </w:pPr>
      <w:r w:rsidRPr="008A509D">
        <w:rPr>
          <w:sz w:val="22"/>
          <w:szCs w:val="18"/>
        </w:rPr>
        <w:t xml:space="preserve">(…) </w:t>
      </w:r>
    </w:p>
    <w:p w14:paraId="59C12FC8" w14:textId="3DBFED8C" w:rsidR="001E7BB1" w:rsidRPr="008A509D" w:rsidRDefault="001E7BB1" w:rsidP="0030082D">
      <w:pPr>
        <w:pStyle w:val="Paragr6ptavantetaprsInterlignemultiple1"/>
        <w:numPr>
          <w:ilvl w:val="0"/>
          <w:numId w:val="0"/>
        </w:numPr>
        <w:spacing w:before="60" w:after="60" w:line="240" w:lineRule="auto"/>
        <w:ind w:left="1462" w:right="715"/>
        <w:rPr>
          <w:sz w:val="22"/>
          <w:szCs w:val="18"/>
        </w:rPr>
      </w:pPr>
      <w:r w:rsidRPr="008A509D">
        <w:rPr>
          <w:sz w:val="22"/>
          <w:szCs w:val="18"/>
        </w:rPr>
        <w:t>12</w:t>
      </w:r>
      <w:r w:rsidRPr="008A509D">
        <w:rPr>
          <w:b/>
          <w:bCs/>
          <w:sz w:val="22"/>
          <w:szCs w:val="18"/>
        </w:rPr>
        <w:t>°</w:t>
      </w:r>
      <w:r w:rsidRPr="008A509D">
        <w:rPr>
          <w:sz w:val="22"/>
          <w:szCs w:val="18"/>
        </w:rPr>
        <w:t xml:space="preserve"> entreprendre une procédure contre un député dans une intention malveillante;</w:t>
      </w:r>
    </w:p>
    <w:p w14:paraId="65FCA83B" w14:textId="654C2D2E" w:rsidR="00C26489" w:rsidRPr="008A509D" w:rsidRDefault="001E7BB1" w:rsidP="0030082D">
      <w:pPr>
        <w:pStyle w:val="Paragr6ptavantetaprsInterlignemultiple1"/>
        <w:numPr>
          <w:ilvl w:val="0"/>
          <w:numId w:val="0"/>
        </w:numPr>
        <w:spacing w:before="60" w:after="60" w:line="240" w:lineRule="auto"/>
        <w:ind w:left="1462" w:right="715"/>
        <w:rPr>
          <w:sz w:val="22"/>
          <w:szCs w:val="18"/>
        </w:rPr>
      </w:pPr>
      <w:r w:rsidRPr="008A509D">
        <w:rPr>
          <w:sz w:val="22"/>
          <w:szCs w:val="18"/>
        </w:rPr>
        <w:t>13° accomplir un acte à l’encontre d’une immunité parlementaire dont bénéficie un député.</w:t>
      </w:r>
    </w:p>
    <w:p w14:paraId="3E129071" w14:textId="2DB24AA4" w:rsidR="0065518A" w:rsidRPr="008A509D" w:rsidRDefault="00A90485" w:rsidP="006E2409">
      <w:pPr>
        <w:pStyle w:val="Paragr6ptavantetaprsInterlignemultiple1"/>
      </w:pPr>
      <w:r w:rsidRPr="008A509D">
        <w:t>T</w:t>
      </w:r>
      <w:r w:rsidR="001E7BB1" w:rsidRPr="008A509D">
        <w:t xml:space="preserve">rois arrêts de la Cour suprême </w:t>
      </w:r>
      <w:r w:rsidR="00A94E31" w:rsidRPr="008A509D">
        <w:t xml:space="preserve">du Canada </w:t>
      </w:r>
      <w:r w:rsidR="005D62FF">
        <w:t xml:space="preserve">établissent </w:t>
      </w:r>
      <w:r w:rsidR="001E7BB1" w:rsidRPr="008A509D">
        <w:t>les contours</w:t>
      </w:r>
      <w:r w:rsidRPr="008A509D">
        <w:t xml:space="preserve"> du privilège parlementaire au Canada</w:t>
      </w:r>
      <w:r w:rsidR="001E7BB1" w:rsidRPr="008A509D">
        <w:t>.</w:t>
      </w:r>
      <w:r w:rsidRPr="008A509D">
        <w:t xml:space="preserve"> </w:t>
      </w:r>
    </w:p>
    <w:p w14:paraId="57CE64B8" w14:textId="7DEEAD69" w:rsidR="009209D9" w:rsidRPr="008A509D" w:rsidRDefault="0065518A" w:rsidP="00A94E31">
      <w:pPr>
        <w:pStyle w:val="Paragr6ptavantetaprsInterlignemultiple1"/>
      </w:pPr>
      <w:r w:rsidRPr="008A509D">
        <w:t>Tout d’abord, d</w:t>
      </w:r>
      <w:r w:rsidR="009209D9" w:rsidRPr="008A509D">
        <w:t xml:space="preserve">ans </w:t>
      </w:r>
      <w:r w:rsidR="009209D9" w:rsidRPr="008A509D">
        <w:rPr>
          <w:i/>
          <w:iCs/>
        </w:rPr>
        <w:t>New Brunswick Broadcasting</w:t>
      </w:r>
      <w:r w:rsidR="006A7FF3" w:rsidRPr="008A509D">
        <w:rPr>
          <w:rStyle w:val="Appelnotedebasdep"/>
        </w:rPr>
        <w:footnoteReference w:id="5"/>
      </w:r>
      <w:r w:rsidRPr="008A509D">
        <w:t>, la Cour suprême du Canada a confirmé qu</w:t>
      </w:r>
      <w:r w:rsidR="005D62FF">
        <w:t xml:space="preserve">’en raison du privilège parlementaire, </w:t>
      </w:r>
      <w:r w:rsidRPr="008A509D">
        <w:t>la </w:t>
      </w:r>
      <w:r w:rsidRPr="008A509D">
        <w:rPr>
          <w:i/>
          <w:iCs/>
        </w:rPr>
        <w:t>Charte</w:t>
      </w:r>
      <w:r w:rsidR="006A7FF3" w:rsidRPr="008A509D">
        <w:rPr>
          <w:i/>
          <w:iCs/>
        </w:rPr>
        <w:t xml:space="preserve"> canadienne des droits et libertés</w:t>
      </w:r>
      <w:r w:rsidR="00B933D5">
        <w:t xml:space="preserve"> </w:t>
      </w:r>
      <w:r w:rsidRPr="008A509D">
        <w:t>ne s'appliqu</w:t>
      </w:r>
      <w:r w:rsidR="006A7FF3" w:rsidRPr="008A509D">
        <w:t>ait</w:t>
      </w:r>
      <w:r w:rsidRPr="008A509D">
        <w:t xml:space="preserve"> pas aux membres de l'Assemblée législative de la Nouvelle</w:t>
      </w:r>
      <w:r w:rsidRPr="008A509D">
        <w:noBreakHyphen/>
        <w:t xml:space="preserve">Écosse lorsqu'ils exercent les </w:t>
      </w:r>
      <w:r w:rsidR="005D62FF">
        <w:t xml:space="preserve">fonctions </w:t>
      </w:r>
      <w:r w:rsidRPr="008A509D">
        <w:t>inhérent</w:t>
      </w:r>
      <w:r w:rsidR="005D62FF">
        <w:t>e</w:t>
      </w:r>
      <w:r w:rsidRPr="008A509D">
        <w:t>s</w:t>
      </w:r>
      <w:r w:rsidR="005D62FF">
        <w:t xml:space="preserve"> à ce statut</w:t>
      </w:r>
      <w:r w:rsidRPr="008A509D">
        <w:t>.</w:t>
      </w:r>
      <w:r w:rsidR="005D62FF">
        <w:t xml:space="preserve"> </w:t>
      </w:r>
      <w:r w:rsidR="0017003D">
        <w:t>E</w:t>
      </w:r>
      <w:r w:rsidR="00BA0D24">
        <w:t xml:space="preserve">lle </w:t>
      </w:r>
      <w:r w:rsidR="00CE7CA3" w:rsidRPr="008A509D">
        <w:t>y énonce bien le principe</w:t>
      </w:r>
      <w:r w:rsidR="005D62FF">
        <w:t xml:space="preserve"> de la séparation des pouvoirs</w:t>
      </w:r>
      <w:r w:rsidR="00413982">
        <w:t xml:space="preserve"> à la base de ce privilège</w:t>
      </w:r>
      <w:r w:rsidR="00CE7CA3" w:rsidRPr="008A509D">
        <w:rPr>
          <w:rStyle w:val="Appelnotedebasdep"/>
        </w:rPr>
        <w:footnoteReference w:id="6"/>
      </w:r>
      <w:r w:rsidR="00CE7CA3" w:rsidRPr="008A509D">
        <w:t> :</w:t>
      </w:r>
    </w:p>
    <w:p w14:paraId="3971D108" w14:textId="1FFDB1E9" w:rsidR="00CE7CA3" w:rsidRPr="008A509D" w:rsidRDefault="00CE7CA3" w:rsidP="00170E9B">
      <w:pPr>
        <w:pStyle w:val="Paragr6ptavantetaprsInterlignemultiple1"/>
        <w:numPr>
          <w:ilvl w:val="0"/>
          <w:numId w:val="0"/>
        </w:numPr>
        <w:spacing w:line="240" w:lineRule="auto"/>
        <w:ind w:left="731" w:right="715"/>
        <w:rPr>
          <w:sz w:val="22"/>
          <w:szCs w:val="18"/>
        </w:rPr>
      </w:pPr>
      <w:r w:rsidRPr="008A509D">
        <w:rPr>
          <w:sz w:val="22"/>
          <w:szCs w:val="18"/>
        </w:rPr>
        <w:t>Notre gouvernement démocratique comporte plusieurs branches : la Couronne représentée par le gouverneur général et ses homologues provinciaux, l’organisme législatif, l’exécutif et les tribunaux.  Pour assurer le fonctionnement de l’ensemble du gouvernement, il est essentiel que toutes ces composantes jouent le rôle qui leur est propre.  Il est également essentiel qu’aucune de ces branches n’outrepasse ses limites et que chacune respecte de façon appropriée le domaine légitime de compétence de l’autre.</w:t>
      </w:r>
    </w:p>
    <w:p w14:paraId="56BBA280" w14:textId="72F259CD" w:rsidR="00E467E1" w:rsidRDefault="0091495F" w:rsidP="008E0134">
      <w:pPr>
        <w:pStyle w:val="Paragr6ptavantetaprsInterlignemultiple1"/>
      </w:pPr>
      <w:r w:rsidRPr="008A509D">
        <w:t xml:space="preserve">Ensuite, dans </w:t>
      </w:r>
      <w:r w:rsidR="009209D9" w:rsidRPr="008A509D">
        <w:rPr>
          <w:i/>
          <w:iCs/>
        </w:rPr>
        <w:t>Vaid</w:t>
      </w:r>
      <w:r w:rsidR="009209D9" w:rsidRPr="008A509D">
        <w:t>,</w:t>
      </w:r>
      <w:r w:rsidRPr="008A509D">
        <w:rPr>
          <w:rStyle w:val="Appelnotedebasdep"/>
        </w:rPr>
        <w:footnoteReference w:id="7"/>
      </w:r>
      <w:r w:rsidR="009209D9" w:rsidRPr="008A509D">
        <w:t xml:space="preserve"> </w:t>
      </w:r>
      <w:r w:rsidR="00B721EB" w:rsidRPr="008A509D">
        <w:t xml:space="preserve">la Cour </w:t>
      </w:r>
      <w:r w:rsidR="005C7008" w:rsidRPr="008A509D">
        <w:t>suprême</w:t>
      </w:r>
      <w:r w:rsidR="00B721EB" w:rsidRPr="008A509D">
        <w:t xml:space="preserve"> du Canada a rejeté l’idée d’un privilège général couvrant toute </w:t>
      </w:r>
      <w:r w:rsidR="005D62FF">
        <w:t xml:space="preserve">question quant à la </w:t>
      </w:r>
      <w:r w:rsidR="00B721EB" w:rsidRPr="008A509D">
        <w:t>«</w:t>
      </w:r>
      <w:r w:rsidR="00BA0D24">
        <w:t xml:space="preserve"> </w:t>
      </w:r>
      <w:r w:rsidR="00B721EB" w:rsidRPr="00BA0D24">
        <w:rPr>
          <w:i/>
          <w:iCs/>
        </w:rPr>
        <w:t>gestion des employés</w:t>
      </w:r>
      <w:r w:rsidR="00BA0D24">
        <w:rPr>
          <w:i/>
          <w:iCs/>
        </w:rPr>
        <w:t xml:space="preserve"> </w:t>
      </w:r>
      <w:r w:rsidR="00B721EB" w:rsidRPr="008A509D">
        <w:t xml:space="preserve">» de la Chambre des communes. Elle a plutôt exigé une preuve de </w:t>
      </w:r>
      <w:r w:rsidR="005D62FF">
        <w:t>« </w:t>
      </w:r>
      <w:r w:rsidR="00B721EB" w:rsidRPr="00BA0D24">
        <w:rPr>
          <w:i/>
          <w:iCs/>
        </w:rPr>
        <w:t>nécessité fonctionnelle</w:t>
      </w:r>
      <w:r w:rsidR="005D62FF">
        <w:t> », en ce sens que</w:t>
      </w:r>
      <w:r w:rsidR="00B721EB" w:rsidRPr="008A509D">
        <w:t xml:space="preserve"> l’activité</w:t>
      </w:r>
      <w:r w:rsidR="005D62FF">
        <w:t>, pour être protégée,</w:t>
      </w:r>
      <w:r w:rsidR="00B721EB" w:rsidRPr="008A509D">
        <w:t xml:space="preserve"> </w:t>
      </w:r>
      <w:r w:rsidR="005D62FF">
        <w:t xml:space="preserve">doit être </w:t>
      </w:r>
      <w:r w:rsidR="00B721EB" w:rsidRPr="008A509D">
        <w:t>si étroitement et directement liée aux fonctions constitutionnelles de l’</w:t>
      </w:r>
      <w:r w:rsidR="00170E9B">
        <w:t>A</w:t>
      </w:r>
      <w:r w:rsidR="00B721EB" w:rsidRPr="008A509D">
        <w:t xml:space="preserve">ssemblée que l’intervention externe compromettrait l’autonomie institutionnelle requise. </w:t>
      </w:r>
    </w:p>
    <w:p w14:paraId="2BB19DE4" w14:textId="566C07FB" w:rsidR="006E2409" w:rsidRPr="008A509D" w:rsidRDefault="005D62FF" w:rsidP="00B855E1">
      <w:pPr>
        <w:pStyle w:val="Paragr6ptavantetaprsInterlignemultiple1"/>
      </w:pPr>
      <w:r>
        <w:lastRenderedPageBreak/>
        <w:t xml:space="preserve">Enfin, </w:t>
      </w:r>
      <w:r w:rsidR="00BA0D24">
        <w:t>les motifs de</w:t>
      </w:r>
      <w:r>
        <w:t xml:space="preserve"> </w:t>
      </w:r>
      <w:r w:rsidR="00B721EB" w:rsidRPr="008A509D">
        <w:t xml:space="preserve">l’affaire </w:t>
      </w:r>
      <w:r w:rsidR="00B721EB" w:rsidRPr="008A509D">
        <w:rPr>
          <w:i/>
          <w:iCs/>
        </w:rPr>
        <w:t>Chagnon</w:t>
      </w:r>
      <w:r w:rsidR="006E2409" w:rsidRPr="008A509D">
        <w:rPr>
          <w:rStyle w:val="Appelnotedebasdep"/>
        </w:rPr>
        <w:footnoteReference w:id="8"/>
      </w:r>
      <w:r w:rsidR="006E2409" w:rsidRPr="008A509D">
        <w:t xml:space="preserve">, </w:t>
      </w:r>
      <w:r w:rsidR="00BA0D24">
        <w:t xml:space="preserve">où </w:t>
      </w:r>
      <w:r w:rsidR="006E2409" w:rsidRPr="008A509D">
        <w:t>la Cour suprême du Canada</w:t>
      </w:r>
      <w:r>
        <w:t xml:space="preserve"> réit</w:t>
      </w:r>
      <w:r w:rsidR="00BA0D24">
        <w:t>ère</w:t>
      </w:r>
      <w:r>
        <w:t xml:space="preserve"> les principes énoncés dans </w:t>
      </w:r>
      <w:r w:rsidRPr="00BA0D24">
        <w:rPr>
          <w:i/>
          <w:iCs/>
        </w:rPr>
        <w:t>Vaid</w:t>
      </w:r>
      <w:r>
        <w:t xml:space="preserve">, </w:t>
      </w:r>
      <w:r w:rsidR="00BA0D24">
        <w:t xml:space="preserve">constituent </w:t>
      </w:r>
      <w:r w:rsidR="006E2409" w:rsidRPr="008A509D">
        <w:t xml:space="preserve">l’aboutissement de </w:t>
      </w:r>
      <w:r w:rsidR="0091495F" w:rsidRPr="008A509D">
        <w:t xml:space="preserve">son </w:t>
      </w:r>
      <w:r w:rsidR="006E2409" w:rsidRPr="008A509D">
        <w:t xml:space="preserve">analyse </w:t>
      </w:r>
      <w:r>
        <w:t>relativement à</w:t>
      </w:r>
      <w:r w:rsidR="00B855E1">
        <w:t xml:space="preserve"> </w:t>
      </w:r>
      <w:r>
        <w:t xml:space="preserve">la protection offerte par </w:t>
      </w:r>
      <w:r w:rsidR="006E2409" w:rsidRPr="008A509D">
        <w:t xml:space="preserve">le privilège parlementaire en matière de gestion d’employés. </w:t>
      </w:r>
      <w:r w:rsidR="0091495F" w:rsidRPr="008A509D">
        <w:t>Selon la Cour suprême, l</w:t>
      </w:r>
      <w:r w:rsidR="006E2409" w:rsidRPr="008A509D">
        <w:t xml:space="preserve">a question </w:t>
      </w:r>
      <w:r>
        <w:t xml:space="preserve">pertinente à cet égard est </w:t>
      </w:r>
      <w:r w:rsidR="006E2409" w:rsidRPr="008A509D">
        <w:t>la suivante</w:t>
      </w:r>
      <w:r w:rsidR="006E2409" w:rsidRPr="008A509D">
        <w:rPr>
          <w:rStyle w:val="Appelnotedebasdep"/>
        </w:rPr>
        <w:footnoteReference w:id="9"/>
      </w:r>
      <w:r w:rsidR="006E2409" w:rsidRPr="008A509D">
        <w:t> :</w:t>
      </w:r>
    </w:p>
    <w:p w14:paraId="7D9080FE" w14:textId="78ADF2F2" w:rsidR="006E2409" w:rsidRPr="00DB5FB4" w:rsidRDefault="006E2409" w:rsidP="0030082D">
      <w:pPr>
        <w:pStyle w:val="Paragr6ptavantetaprsInterlignemultiple1"/>
        <w:numPr>
          <w:ilvl w:val="0"/>
          <w:numId w:val="0"/>
        </w:numPr>
        <w:spacing w:line="276" w:lineRule="auto"/>
        <w:ind w:left="731" w:right="715"/>
        <w:rPr>
          <w:sz w:val="22"/>
          <w:szCs w:val="22"/>
        </w:rPr>
      </w:pPr>
      <w:r w:rsidRPr="00DB5FB4">
        <w:rPr>
          <w:sz w:val="22"/>
          <w:szCs w:val="22"/>
        </w:rPr>
        <w:t xml:space="preserve">La </w:t>
      </w:r>
      <w:r w:rsidR="00741DFE" w:rsidRPr="00DB5FB4">
        <w:rPr>
          <w:sz w:val="22"/>
          <w:szCs w:val="22"/>
        </w:rPr>
        <w:t xml:space="preserve">partie qui invoque le privilège </w:t>
      </w:r>
      <w:r w:rsidRPr="00DB5FB4">
        <w:rPr>
          <w:sz w:val="22"/>
          <w:szCs w:val="22"/>
        </w:rPr>
        <w:t>a-t-elle démontré que l’application du droit général du travail à l’égard d’employés qui exercent le privilège en cause mettrait en péril l’autonomie, la dignité et l’efficacité dont l’Assemblée a besoin pour s’acquitter de son mandat législatif ?</w:t>
      </w:r>
    </w:p>
    <w:p w14:paraId="5140CD0F" w14:textId="747D6D34" w:rsidR="006E2409" w:rsidRPr="008A509D" w:rsidRDefault="006E2409" w:rsidP="00C90ADA">
      <w:pPr>
        <w:pStyle w:val="Paragr6ptavantetaprsInterlignemultiple1"/>
      </w:pPr>
      <w:r w:rsidRPr="008A509D">
        <w:t>Le</w:t>
      </w:r>
      <w:r w:rsidR="00EE2C09" w:rsidRPr="008A509D">
        <w:t xml:space="preserve"> privilège parlementaire désigne</w:t>
      </w:r>
      <w:r w:rsidRPr="008A509D">
        <w:t xml:space="preserve"> ainsi</w:t>
      </w:r>
      <w:r w:rsidR="00EE2C09" w:rsidRPr="008A509D">
        <w:t xml:space="preserve"> l’ensemble des droits, </w:t>
      </w:r>
      <w:r w:rsidR="00297355">
        <w:t xml:space="preserve">des </w:t>
      </w:r>
      <w:r w:rsidR="00EE2C09" w:rsidRPr="008A509D">
        <w:t xml:space="preserve">immunités et </w:t>
      </w:r>
      <w:r w:rsidR="00297355">
        <w:t xml:space="preserve">des </w:t>
      </w:r>
      <w:r w:rsidR="00EE2C09" w:rsidRPr="008A509D">
        <w:t xml:space="preserve">pouvoirs nécessaires au fonctionnement des assemblées législatives. Il comprend notamment la liberté de parole dans les débats parlementaires, la compétence exclusive des </w:t>
      </w:r>
      <w:r w:rsidRPr="008A509D">
        <w:t>assemblées</w:t>
      </w:r>
      <w:r w:rsidR="00EE2C09" w:rsidRPr="008A509D">
        <w:t xml:space="preserve"> sur leurs affaires internes, le pouvoir d’enquête, la protection contre l’obstruction et certaines immunités. </w:t>
      </w:r>
      <w:r w:rsidR="00413982">
        <w:t>L</w:t>
      </w:r>
      <w:r w:rsidR="0091495F" w:rsidRPr="008A509D">
        <w:rPr>
          <w:szCs w:val="24"/>
        </w:rPr>
        <w:t>’immunité</w:t>
      </w:r>
      <w:r w:rsidRPr="008A509D">
        <w:rPr>
          <w:szCs w:val="24"/>
        </w:rPr>
        <w:t xml:space="preserve"> des parlementaires québécois</w:t>
      </w:r>
      <w:r w:rsidR="007302C8" w:rsidRPr="008A509D">
        <w:rPr>
          <w:szCs w:val="24"/>
        </w:rPr>
        <w:t>,</w:t>
      </w:r>
      <w:r w:rsidRPr="008A509D">
        <w:rPr>
          <w:szCs w:val="24"/>
        </w:rPr>
        <w:t xml:space="preserve"> consacrée à l’article 44 de la </w:t>
      </w:r>
      <w:r w:rsidRPr="008A509D">
        <w:rPr>
          <w:i/>
          <w:iCs/>
          <w:szCs w:val="24"/>
        </w:rPr>
        <w:t>Loi sur l’Assemblée nationale</w:t>
      </w:r>
      <w:r w:rsidRPr="008A509D">
        <w:rPr>
          <w:szCs w:val="24"/>
        </w:rPr>
        <w:t xml:space="preserve">, prévoit </w:t>
      </w:r>
      <w:r w:rsidR="00413982">
        <w:rPr>
          <w:szCs w:val="24"/>
        </w:rPr>
        <w:t xml:space="preserve">entre autres </w:t>
      </w:r>
      <w:r w:rsidRPr="008A509D">
        <w:rPr>
          <w:szCs w:val="24"/>
        </w:rPr>
        <w:t>qu’un député ne peut être poursuivi</w:t>
      </w:r>
      <w:r w:rsidR="00413982">
        <w:rPr>
          <w:szCs w:val="24"/>
        </w:rPr>
        <w:t xml:space="preserve"> </w:t>
      </w:r>
      <w:r w:rsidRPr="008A509D">
        <w:rPr>
          <w:szCs w:val="24"/>
        </w:rPr>
        <w:t>en raison d’un acte parlementaire accompli dans l’exercice de ses fonctions à l’Assemblée</w:t>
      </w:r>
      <w:r w:rsidRPr="008A509D">
        <w:rPr>
          <w:rStyle w:val="Appelnotedebasdep"/>
          <w:szCs w:val="24"/>
        </w:rPr>
        <w:footnoteReference w:id="10"/>
      </w:r>
      <w:r w:rsidR="0091495F" w:rsidRPr="008A509D">
        <w:rPr>
          <w:szCs w:val="24"/>
        </w:rPr>
        <w:t>.</w:t>
      </w:r>
    </w:p>
    <w:p w14:paraId="3A9E0D93" w14:textId="4AE668A7" w:rsidR="00E275BE" w:rsidRPr="008A509D" w:rsidRDefault="00635D04" w:rsidP="00B12604">
      <w:pPr>
        <w:pStyle w:val="Paragr6ptavantetaprsInterlignemultiple1"/>
      </w:pPr>
      <w:r>
        <w:t>Ainsi</w:t>
      </w:r>
      <w:r w:rsidR="00413982">
        <w:t xml:space="preserve">, </w:t>
      </w:r>
      <w:r w:rsidR="00EE2C09" w:rsidRPr="008A509D">
        <w:t xml:space="preserve">l’immunité protège ce qui est nécessaire à l’exercice des fonctions parlementaires, mais elle ne protège pas les parlementaires contre les poursuites relatives à des actes privés, administratifs, financiers ou criminels </w:t>
      </w:r>
      <w:r w:rsidR="005D62FF">
        <w:t xml:space="preserve">sans </w:t>
      </w:r>
      <w:r w:rsidR="00EE2C09" w:rsidRPr="008A509D">
        <w:t>lien suffisa</w:t>
      </w:r>
      <w:r w:rsidR="005D62FF">
        <w:t>mment étroit</w:t>
      </w:r>
      <w:r w:rsidR="00EE2C09" w:rsidRPr="008A509D">
        <w:t xml:space="preserve"> avec le</w:t>
      </w:r>
      <w:r w:rsidR="0091495F" w:rsidRPr="008A509D">
        <w:t xml:space="preserve"> mandat législatif, </w:t>
      </w:r>
      <w:r w:rsidR="006F3738" w:rsidRPr="008A509D">
        <w:t>lequel consiste à</w:t>
      </w:r>
      <w:r w:rsidR="0091495F" w:rsidRPr="008A509D">
        <w:t xml:space="preserve"> débattre des projets de loi et </w:t>
      </w:r>
      <w:r w:rsidR="006F3738" w:rsidRPr="008A509D">
        <w:t xml:space="preserve">à </w:t>
      </w:r>
      <w:r w:rsidR="0091495F" w:rsidRPr="008A509D">
        <w:t>demander des comptes au gouvernement</w:t>
      </w:r>
      <w:r w:rsidR="00FC21F9" w:rsidRPr="008A509D">
        <w:rPr>
          <w:rStyle w:val="Appelnotedebasdep"/>
        </w:rPr>
        <w:footnoteReference w:id="11"/>
      </w:r>
      <w:r w:rsidR="00EE2C09" w:rsidRPr="008A509D">
        <w:t>.</w:t>
      </w:r>
      <w:r w:rsidR="00B12604" w:rsidRPr="008A509D">
        <w:t xml:space="preserve"> </w:t>
      </w:r>
      <w:r>
        <w:t>Aussi</w:t>
      </w:r>
      <w:r w:rsidR="00413982">
        <w:t>, t</w:t>
      </w:r>
      <w:r w:rsidR="00B12604" w:rsidRPr="008A509D">
        <w:t xml:space="preserve">ant selon l’arrêt </w:t>
      </w:r>
      <w:r w:rsidR="00B12604" w:rsidRPr="008A509D">
        <w:rPr>
          <w:i/>
          <w:iCs/>
        </w:rPr>
        <w:t>Vaid</w:t>
      </w:r>
      <w:r w:rsidR="00B12604" w:rsidRPr="008A509D">
        <w:t xml:space="preserve"> que </w:t>
      </w:r>
      <w:r w:rsidR="00170E9B">
        <w:t xml:space="preserve">selon </w:t>
      </w:r>
      <w:r w:rsidR="00B12604" w:rsidRPr="008A509D">
        <w:t xml:space="preserve">l’arrêt </w:t>
      </w:r>
      <w:r w:rsidR="00B12604" w:rsidRPr="008A509D">
        <w:rPr>
          <w:i/>
          <w:iCs/>
        </w:rPr>
        <w:t>Chagnon</w:t>
      </w:r>
      <w:r w:rsidR="00B12604" w:rsidRPr="008A509D">
        <w:t xml:space="preserve">, </w:t>
      </w:r>
      <w:r w:rsidR="00E275BE" w:rsidRPr="008A509D">
        <w:t xml:space="preserve">la gestion du personnel n’est pas </w:t>
      </w:r>
      <w:r w:rsidR="00B855E1">
        <w:t xml:space="preserve">toujours </w:t>
      </w:r>
      <w:r w:rsidR="006F3738" w:rsidRPr="008A509D">
        <w:t>protégée</w:t>
      </w:r>
      <w:r w:rsidR="00E275BE" w:rsidRPr="008A509D">
        <w:t xml:space="preserve"> par le privilège parlementaire. </w:t>
      </w:r>
      <w:r w:rsidR="00413982">
        <w:t>Enfin, l</w:t>
      </w:r>
      <w:r w:rsidR="00B12604" w:rsidRPr="008A509D">
        <w:t xml:space="preserve">a partie </w:t>
      </w:r>
      <w:r w:rsidR="00E275BE" w:rsidRPr="008A509D">
        <w:t>qui invoque le privilège doit démontrer que l’immunité contre le contrôle externe est nécessaire pour lui permettre d’exercer ses fonctions législatives et délibératives avec dignité et efficacité.</w:t>
      </w:r>
    </w:p>
    <w:p w14:paraId="01B9FFAB" w14:textId="443591C3" w:rsidR="00E71559" w:rsidRPr="008A509D" w:rsidRDefault="007302C8" w:rsidP="007302C8">
      <w:pPr>
        <w:pStyle w:val="Paragr6ptavantetaprsInterlignemultiple1"/>
        <w:numPr>
          <w:ilvl w:val="0"/>
          <w:numId w:val="0"/>
        </w:numPr>
        <w:spacing w:line="276" w:lineRule="auto"/>
        <w:jc w:val="center"/>
        <w:rPr>
          <w:b/>
        </w:rPr>
      </w:pPr>
      <w:r w:rsidRPr="008A509D">
        <w:rPr>
          <w:b/>
        </w:rPr>
        <w:t>* * * * *</w:t>
      </w:r>
    </w:p>
    <w:p w14:paraId="1961A5A8" w14:textId="23E30470" w:rsidR="005A35E7" w:rsidRDefault="005A35E7" w:rsidP="00924EDB">
      <w:pPr>
        <w:pStyle w:val="Paragr6ptavantetaprsInterlignemultiple1"/>
      </w:pPr>
      <w:r w:rsidRPr="008A509D">
        <w:t>L</w:t>
      </w:r>
      <w:r w:rsidR="00070E75" w:rsidRPr="008A509D">
        <w:t xml:space="preserve">e recours </w:t>
      </w:r>
      <w:r w:rsidRPr="008A509D">
        <w:t xml:space="preserve">de la demanderesse est fondé sur une </w:t>
      </w:r>
      <w:r w:rsidR="00070E75" w:rsidRPr="008A509D">
        <w:t>transgression de</w:t>
      </w:r>
      <w:r w:rsidRPr="008A509D">
        <w:t xml:space="preserve"> ses droits fondamentaux à l’occasion de son congédiement.</w:t>
      </w:r>
      <w:r w:rsidR="00924EDB" w:rsidRPr="008A509D">
        <w:t xml:space="preserve"> Elle recherche des</w:t>
      </w:r>
      <w:r w:rsidRPr="008A509D">
        <w:t xml:space="preserve"> </w:t>
      </w:r>
      <w:r w:rsidR="00924EDB" w:rsidRPr="008A509D">
        <w:t xml:space="preserve">dommages-intérêts moraux et punitifs en raison de l'atteinte intentionnelle à son honneur, sa dignité, son </w:t>
      </w:r>
      <w:r w:rsidR="00924EDB" w:rsidRPr="008A509D">
        <w:lastRenderedPageBreak/>
        <w:t xml:space="preserve">intégrité et sa réputation. </w:t>
      </w:r>
      <w:r w:rsidRPr="008A509D">
        <w:t xml:space="preserve">Elle avance que </w:t>
      </w:r>
      <w:r w:rsidR="00885E81">
        <w:t xml:space="preserve">son préjudice a été causé par le fait que </w:t>
      </w:r>
      <w:r w:rsidRPr="008A509D">
        <w:t>la défenderesse invoque une cause de congédiement</w:t>
      </w:r>
      <w:r w:rsidR="00170E9B">
        <w:t>,</w:t>
      </w:r>
      <w:r w:rsidRPr="008A509D">
        <w:t xml:space="preserve"> soit une faute grave et de l’insubordination</w:t>
      </w:r>
      <w:r w:rsidR="004B320D" w:rsidRPr="008A509D">
        <w:t>,</w:t>
      </w:r>
      <w:r w:rsidRPr="008A509D">
        <w:t xml:space="preserve"> et </w:t>
      </w:r>
      <w:r w:rsidR="00885E81">
        <w:t>qu’il a été aggravé lorsque la défenderesse l</w:t>
      </w:r>
      <w:r w:rsidR="004F0906">
        <w:t>’a</w:t>
      </w:r>
      <w:r w:rsidR="00885E81">
        <w:t xml:space="preserve"> </w:t>
      </w:r>
      <w:r w:rsidRPr="008A509D">
        <w:t>réit</w:t>
      </w:r>
      <w:r w:rsidR="004F0906">
        <w:t>éré</w:t>
      </w:r>
      <w:r w:rsidRPr="008A509D">
        <w:t xml:space="preserve"> dans s</w:t>
      </w:r>
      <w:r w:rsidR="00924EDB" w:rsidRPr="008A509D">
        <w:t>a défense</w:t>
      </w:r>
      <w:r w:rsidRPr="008A509D">
        <w:t>.</w:t>
      </w:r>
    </w:p>
    <w:p w14:paraId="0EF42DB2" w14:textId="0E6FA08E" w:rsidR="00E467E1" w:rsidRPr="008A509D" w:rsidRDefault="00793DC6" w:rsidP="00D31D20">
      <w:pPr>
        <w:pStyle w:val="Paragr6ptavantetaprsInterlignemultiple1"/>
      </w:pPr>
      <w:r w:rsidRPr="00793DC6">
        <w:t xml:space="preserve">Ainsi, pour statuer sur l’exception déclinatoire, il convient de répondre à la question formulée par la Cour suprême dans l’arrêt </w:t>
      </w:r>
      <w:r w:rsidR="00E467E1" w:rsidRPr="00793DC6">
        <w:rPr>
          <w:i/>
          <w:iCs/>
        </w:rPr>
        <w:t>Chagnon</w:t>
      </w:r>
      <w:r w:rsidR="00E467E1">
        <w:rPr>
          <w:rStyle w:val="Appelnotedebasdep"/>
        </w:rPr>
        <w:footnoteReference w:id="12"/>
      </w:r>
      <w:r w:rsidR="00E467E1">
        <w:t xml:space="preserve">. </w:t>
      </w:r>
    </w:p>
    <w:p w14:paraId="46AF83CF" w14:textId="4E3D230B" w:rsidR="001E7BB1" w:rsidRPr="008A509D" w:rsidRDefault="004B320D" w:rsidP="00F615F2">
      <w:pPr>
        <w:pStyle w:val="Paragr6ptavantetaprsInterlignemultiple1"/>
      </w:pPr>
      <w:r w:rsidRPr="008A509D">
        <w:t>Je n’ai aucun doute que la catégorie d’emploi d</w:t>
      </w:r>
      <w:r w:rsidR="00E467E1">
        <w:t>e</w:t>
      </w:r>
      <w:r w:rsidRPr="008A509D">
        <w:t xml:space="preserve"> directeur de cabinet du chef de l’opposition officielle de l’Assemblée nationale est </w:t>
      </w:r>
      <w:r w:rsidR="005D62FF" w:rsidRPr="00DB5FB4">
        <w:rPr>
          <w:i/>
          <w:iCs/>
        </w:rPr>
        <w:t>a</w:t>
      </w:r>
      <w:r w:rsidRPr="00DB5FB4">
        <w:rPr>
          <w:i/>
          <w:iCs/>
        </w:rPr>
        <w:t xml:space="preserve"> </w:t>
      </w:r>
      <w:r w:rsidR="00E467E1" w:rsidRPr="00DB5FB4">
        <w:rPr>
          <w:i/>
          <w:iCs/>
        </w:rPr>
        <w:t>priori</w:t>
      </w:r>
      <w:r w:rsidRPr="008A509D">
        <w:t xml:space="preserve"> couverte par </w:t>
      </w:r>
      <w:r w:rsidR="008A509D" w:rsidRPr="008A509D">
        <w:t xml:space="preserve">le privilège. Les procédures au dossier et l’interrogatoire préalable de la demanderesse démontrent de manière éloquente l’étendue de ses responsabilités et les tâches à la fois diverses et </w:t>
      </w:r>
      <w:r w:rsidR="00E467E1">
        <w:t xml:space="preserve">importantes </w:t>
      </w:r>
      <w:r w:rsidR="008A509D" w:rsidRPr="008A509D">
        <w:t>qui incombent à cette fonction.</w:t>
      </w:r>
      <w:r w:rsidR="00F615F2">
        <w:t xml:space="preserve"> </w:t>
      </w:r>
      <w:r w:rsidR="00E467E1">
        <w:t>Le titulaire de ce poste gère entre autres les ressources humaines, les ressources matérielles et l’agenda du chef de l’opposition officielle. Il m’apparait difficile de trouver une fonction davantage indispensable à l’exercice de</w:t>
      </w:r>
      <w:r w:rsidR="0030082D">
        <w:t>s</w:t>
      </w:r>
      <w:r w:rsidR="00E467E1">
        <w:t xml:space="preserve"> responsabilités législatives de l’opposition officielle. </w:t>
      </w:r>
      <w:r w:rsidR="008A509D" w:rsidRPr="008A509D">
        <w:t xml:space="preserve">La </w:t>
      </w:r>
      <w:r w:rsidR="008A509D" w:rsidRPr="00F615F2">
        <w:rPr>
          <w:i/>
          <w:iCs/>
        </w:rPr>
        <w:t>Loi sur l’Assemblée nationale</w:t>
      </w:r>
      <w:r w:rsidR="008A509D" w:rsidRPr="008A509D">
        <w:t xml:space="preserve"> le confirme en traitant explicitement de ce poste : </w:t>
      </w:r>
    </w:p>
    <w:p w14:paraId="43E33DD6" w14:textId="1F0C7F22" w:rsidR="001E7BB1" w:rsidRPr="008A509D" w:rsidRDefault="001E7BB1" w:rsidP="0030082D">
      <w:pPr>
        <w:pStyle w:val="Paragr6ptavantetaprsInterlignemultiple1"/>
        <w:numPr>
          <w:ilvl w:val="0"/>
          <w:numId w:val="0"/>
        </w:numPr>
        <w:spacing w:line="276" w:lineRule="auto"/>
        <w:ind w:left="731" w:right="715"/>
        <w:rPr>
          <w:sz w:val="22"/>
          <w:szCs w:val="18"/>
        </w:rPr>
      </w:pPr>
      <w:hyperlink r:id="rId11" w:anchor="se:124_1" w:history="1">
        <w:r w:rsidRPr="008A509D">
          <w:rPr>
            <w:rStyle w:val="Hyperlien"/>
            <w:b/>
            <w:bCs/>
            <w:color w:val="auto"/>
            <w:sz w:val="22"/>
            <w:szCs w:val="18"/>
            <w:u w:val="none"/>
          </w:rPr>
          <w:t>124.1.</w:t>
        </w:r>
      </w:hyperlink>
      <w:r w:rsidRPr="008A509D">
        <w:rPr>
          <w:sz w:val="22"/>
          <w:szCs w:val="18"/>
        </w:rPr>
        <w:t> Le Chef de l’opposition officielle, un député auquel s’applique le paragraphe 6° de l’article 7 de la Loi sur les conditions de travail et le régime de retraite des membres de l’Assemblée nationale (</w:t>
      </w:r>
      <w:hyperlink r:id="rId12" w:tgtFrame="_blank" w:history="1">
        <w:r w:rsidRPr="008A509D">
          <w:rPr>
            <w:rStyle w:val="Hyperlien"/>
            <w:color w:val="auto"/>
            <w:sz w:val="22"/>
            <w:szCs w:val="18"/>
            <w:u w:val="none"/>
          </w:rPr>
          <w:t>chapitre C-52.1</w:t>
        </w:r>
      </w:hyperlink>
      <w:r w:rsidRPr="008A509D">
        <w:rPr>
          <w:sz w:val="22"/>
          <w:szCs w:val="18"/>
        </w:rPr>
        <w:t>), le président et les vice-présidents de l’Assemblée nationale, le leader parlementaire du gouvernement, de l’opposition officielle ou d’un parti visé au paragraphe 6° de l’article 7 de la loi mentionnée ci-dessus, le whip en chef du gouvernement, le whip en chef de l’opposition officielle et le whip d’un parti visé au paragraphe 6° de l’article 7 de cette même loi peuvent nommer le directeur de leur cabinet et les autres personnes nécessaires au bon fonctionnement de leur cabinet. (…)</w:t>
      </w:r>
    </w:p>
    <w:p w14:paraId="2F9C0C39" w14:textId="1946797D" w:rsidR="008A509D" w:rsidRPr="008A509D" w:rsidRDefault="00E467E1" w:rsidP="004F2F21">
      <w:pPr>
        <w:pStyle w:val="Paragr6ptavantetaprsInterlignemultiple1"/>
        <w:spacing w:line="276" w:lineRule="auto"/>
      </w:pPr>
      <w:r>
        <w:t>Il est vrai par ailleurs que l’Assemblée nationale n’a pas jugé pertinent d’exclure l’application du droit commun aux attribut</w:t>
      </w:r>
      <w:r w:rsidR="004F2F21">
        <w:t>s</w:t>
      </w:r>
      <w:r>
        <w:t xml:space="preserve"> de ce poste</w:t>
      </w:r>
      <w:r w:rsidR="004F2F21">
        <w:t xml:space="preserve">, comme elle aurait pu le faire </w:t>
      </w:r>
      <w:r>
        <w:t xml:space="preserve">suivant l’article 110 de la </w:t>
      </w:r>
      <w:r w:rsidRPr="007E66D8">
        <w:rPr>
          <w:i/>
          <w:iCs/>
        </w:rPr>
        <w:t>Loi sur l’Assemblée nationale</w:t>
      </w:r>
      <w:r w:rsidR="008A509D" w:rsidRPr="008A509D">
        <w:t> :</w:t>
      </w:r>
    </w:p>
    <w:p w14:paraId="108DB310" w14:textId="70FEC52F" w:rsidR="008A509D" w:rsidRPr="008A509D" w:rsidRDefault="008A509D" w:rsidP="0030082D">
      <w:pPr>
        <w:pStyle w:val="Paragr6ptavantetaprsInterlignemultiple1"/>
        <w:numPr>
          <w:ilvl w:val="0"/>
          <w:numId w:val="0"/>
        </w:numPr>
        <w:spacing w:line="240" w:lineRule="auto"/>
        <w:ind w:left="731" w:right="715"/>
        <w:rPr>
          <w:sz w:val="22"/>
          <w:szCs w:val="18"/>
          <w:lang w:eastAsia="fr-CA"/>
        </w:rPr>
      </w:pPr>
      <w:hyperlink r:id="rId13" w:anchor="se:110" w:history="1">
        <w:r w:rsidRPr="008A509D">
          <w:rPr>
            <w:b/>
            <w:bCs/>
            <w:sz w:val="22"/>
            <w:szCs w:val="22"/>
            <w:lang w:eastAsia="fr-CA"/>
          </w:rPr>
          <w:t>110.</w:t>
        </w:r>
      </w:hyperlink>
      <w:r w:rsidRPr="008A509D">
        <w:rPr>
          <w:sz w:val="22"/>
          <w:szCs w:val="18"/>
          <w:lang w:eastAsia="fr-CA"/>
        </w:rPr>
        <w:t> Sous réserve de la présente loi, la gestion de l’Assemblée continue de s’exercer dans le cadre des lois, règlements et règles qui lui sont applicables.</w:t>
      </w:r>
    </w:p>
    <w:p w14:paraId="62A710EC" w14:textId="3DCB6A17" w:rsidR="00070E75" w:rsidRPr="004F2F21" w:rsidRDefault="008A509D" w:rsidP="0030082D">
      <w:pPr>
        <w:pStyle w:val="Paragr6ptavantetaprsInterlignemultiple1"/>
        <w:numPr>
          <w:ilvl w:val="0"/>
          <w:numId w:val="0"/>
        </w:numPr>
        <w:spacing w:line="240" w:lineRule="auto"/>
        <w:ind w:left="731" w:right="715"/>
        <w:rPr>
          <w:sz w:val="22"/>
          <w:szCs w:val="18"/>
          <w:lang w:eastAsia="fr-CA"/>
        </w:rPr>
      </w:pPr>
      <w:r w:rsidRPr="008A509D">
        <w:rPr>
          <w:sz w:val="22"/>
          <w:szCs w:val="18"/>
          <w:lang w:eastAsia="fr-CA"/>
        </w:rPr>
        <w:t>Toutefois, le Bureau peut, par règlement, déroger à ces lois, règlements et règles en indiquant précisément les dispositions auxquelles il est dérogé et les dispositions qui s’appliqueront en leur lieu et place.</w:t>
      </w:r>
    </w:p>
    <w:p w14:paraId="5FB2B26D" w14:textId="572AC34C" w:rsidR="006A7648" w:rsidRPr="006A7648" w:rsidRDefault="006A7648" w:rsidP="0030082D">
      <w:pPr>
        <w:pStyle w:val="Paragr6ptavantetaprsInterlignemultiple1"/>
        <w:numPr>
          <w:ilvl w:val="0"/>
          <w:numId w:val="0"/>
        </w:numPr>
        <w:spacing w:line="240" w:lineRule="auto"/>
        <w:ind w:left="731" w:right="715"/>
        <w:rPr>
          <w:sz w:val="22"/>
          <w:szCs w:val="18"/>
        </w:rPr>
      </w:pPr>
      <w:r w:rsidRPr="006A7648">
        <w:rPr>
          <w:b/>
          <w:bCs/>
          <w:sz w:val="22"/>
          <w:szCs w:val="18"/>
        </w:rPr>
        <w:t>120</w:t>
      </w:r>
      <w:r w:rsidRPr="006A7648">
        <w:rPr>
          <w:sz w:val="22"/>
          <w:szCs w:val="18"/>
        </w:rPr>
        <w:t xml:space="preserve">. Tout membre du personnel de l’Assemblée, à l’exception d’un employé occasionnel, fait partie du personnel de la fonction publique, qu’il soit nommé en </w:t>
      </w:r>
      <w:r w:rsidRPr="006A7648">
        <w:rPr>
          <w:sz w:val="22"/>
          <w:szCs w:val="18"/>
        </w:rPr>
        <w:lastRenderedPageBreak/>
        <w:t>vertu de la Loi sur la fonction publique (chapitre F</w:t>
      </w:r>
      <w:r w:rsidRPr="006A7648">
        <w:rPr>
          <w:sz w:val="22"/>
          <w:szCs w:val="18"/>
        </w:rPr>
        <w:noBreakHyphen/>
        <w:t>3.1.1) ou par dérogation en vertu du deuxième alinéa de l’article 110, à moins que, dans ce dernier cas, le Bureau ne l’en exclue.</w:t>
      </w:r>
    </w:p>
    <w:p w14:paraId="22CF6B12" w14:textId="572DF0D6" w:rsidR="00793DC6" w:rsidRDefault="006A7648" w:rsidP="00793DC6">
      <w:pPr>
        <w:pStyle w:val="Paragr6ptavantetaprsInterlignemultiple1"/>
        <w:spacing w:line="276" w:lineRule="auto"/>
      </w:pPr>
      <w:r>
        <w:t>Cependant</w:t>
      </w:r>
      <w:r w:rsidR="0030082D">
        <w:t>,</w:t>
      </w:r>
      <w:r>
        <w:t xml:space="preserve"> </w:t>
      </w:r>
      <w:r w:rsidR="00B855E1">
        <w:t xml:space="preserve">ces mêmes dispositions établissent </w:t>
      </w:r>
      <w:r w:rsidR="005D62FF">
        <w:t xml:space="preserve">une distinction </w:t>
      </w:r>
      <w:r w:rsidRPr="006A7648">
        <w:t>entre, d’une part</w:t>
      </w:r>
      <w:r w:rsidR="0030082D">
        <w:t>,</w:t>
      </w:r>
      <w:r w:rsidRPr="006A7648">
        <w:t xml:space="preserve"> le « personnel de l’Assemblée », lequel fait partie du personnel de la fonction publique à moins d’en être exclu par le Bureau de l’Assemblée nationale et, d’autre part, le « personnel de cabinet et de député », dont les conditions de travail sont fixées par </w:t>
      </w:r>
      <w:r w:rsidR="00B87404">
        <w:t xml:space="preserve">le </w:t>
      </w:r>
      <w:r w:rsidRPr="006A7648">
        <w:t>règlement du Bureau de l’Assemblée nationale</w:t>
      </w:r>
      <w:r>
        <w:t xml:space="preserve">. Le directeur de cabinet </w:t>
      </w:r>
      <w:r w:rsidR="005D62FF">
        <w:t xml:space="preserve">entre dans </w:t>
      </w:r>
      <w:r w:rsidR="00885E81">
        <w:t>cette seconde</w:t>
      </w:r>
      <w:r>
        <w:t xml:space="preserve"> </w:t>
      </w:r>
      <w:r w:rsidR="0051098D">
        <w:t>catégorie</w:t>
      </w:r>
      <w:r>
        <w:t xml:space="preserve"> et donc l’inférence proposée </w:t>
      </w:r>
      <w:r w:rsidR="0051098D">
        <w:t xml:space="preserve">à ce sujet </w:t>
      </w:r>
      <w:r>
        <w:t>par la Cour suprême du Canada</w:t>
      </w:r>
      <w:r w:rsidR="0051098D">
        <w:t xml:space="preserve"> dans </w:t>
      </w:r>
      <w:r w:rsidR="0051098D" w:rsidRPr="0051098D">
        <w:rPr>
          <w:i/>
          <w:iCs/>
        </w:rPr>
        <w:t>Chagnon</w:t>
      </w:r>
      <w:r w:rsidR="0051098D">
        <w:rPr>
          <w:rStyle w:val="Appelnotedebasdep"/>
        </w:rPr>
        <w:footnoteReference w:id="13"/>
      </w:r>
      <w:r>
        <w:t xml:space="preserve"> </w:t>
      </w:r>
      <w:r w:rsidR="005D62FF">
        <w:t xml:space="preserve">aux termes de </w:t>
      </w:r>
      <w:r w:rsidR="00B855E1">
        <w:t>l</w:t>
      </w:r>
      <w:r w:rsidR="005D62FF">
        <w:t xml:space="preserve">’article 110 </w:t>
      </w:r>
      <w:r w:rsidR="00B87404">
        <w:t xml:space="preserve">de la </w:t>
      </w:r>
      <w:r w:rsidR="007E66D8" w:rsidRPr="007E66D8">
        <w:rPr>
          <w:i/>
          <w:iCs/>
        </w:rPr>
        <w:t>Loi sur l’Assemblée nationale</w:t>
      </w:r>
      <w:r w:rsidR="007E66D8" w:rsidRPr="008A509D">
        <w:t> </w:t>
      </w:r>
      <w:r w:rsidR="0051098D">
        <w:t xml:space="preserve">ne peut s’appliquer en l’occurrence. Bref, </w:t>
      </w:r>
      <w:r w:rsidR="005D62FF">
        <w:t xml:space="preserve">à la lumière du rôle d’un directeur de cabinet, j’estime que </w:t>
      </w:r>
      <w:r w:rsidR="0051098D">
        <w:t xml:space="preserve">la défenderesse a </w:t>
      </w:r>
      <w:r w:rsidR="005D62FF">
        <w:t xml:space="preserve">établi </w:t>
      </w:r>
      <w:r w:rsidR="0051098D" w:rsidRPr="0051098D">
        <w:t>qu’</w:t>
      </w:r>
      <w:r w:rsidR="0051098D">
        <w:t>elle</w:t>
      </w:r>
      <w:r w:rsidR="0051098D" w:rsidRPr="0051098D">
        <w:t xml:space="preserve"> devait disposer du pouvoir non susceptible de révision de congédier </w:t>
      </w:r>
      <w:r w:rsidR="00635D04">
        <w:t>le titulaire de ce poste</w:t>
      </w:r>
      <w:r w:rsidR="0051098D">
        <w:t xml:space="preserve"> afin de pouvoir </w:t>
      </w:r>
      <w:r w:rsidR="0051098D" w:rsidRPr="0051098D">
        <w:t>s’acquitter de ses responsabilités constitutionnelles efficacement et dignement.</w:t>
      </w:r>
    </w:p>
    <w:p w14:paraId="08D58BDA" w14:textId="13FE5DBE" w:rsidR="00220868" w:rsidRDefault="004F0906" w:rsidP="000A653F">
      <w:pPr>
        <w:pStyle w:val="Paragr6ptavantetaprsInterlignemultiple1"/>
        <w:spacing w:line="276" w:lineRule="auto"/>
      </w:pPr>
      <w:r>
        <w:t>Ainsi</w:t>
      </w:r>
      <w:r w:rsidR="00B855E1">
        <w:t>, i</w:t>
      </w:r>
      <w:r w:rsidR="000A653F" w:rsidRPr="008A509D">
        <w:t xml:space="preserve">l </w:t>
      </w:r>
      <w:r w:rsidR="005D62FF">
        <w:t xml:space="preserve">me semble clair </w:t>
      </w:r>
      <w:r w:rsidR="000A653F" w:rsidRPr="008A509D">
        <w:t>que mettre fin à l’emploi de sa cheffe de cabinet constitue un acte parlementaire protégé. La défenderesse ne doit pas être contrainte d’expliquer comment ou pourquoi elle est arrivée à cette décision. Cette protection vise le cœur du privilège parlementaire : le chef de l’opposition officielle doit pouvoir décider librement, sans crainte d’être interrogé ultérieurement sur son raisonnement quant à la nomination et l</w:t>
      </w:r>
      <w:r w:rsidR="00635D04">
        <w:t>e congédiement</w:t>
      </w:r>
      <w:r w:rsidR="000A653F" w:rsidRPr="008A509D">
        <w:t xml:space="preserve"> du directeur de son cabinet.</w:t>
      </w:r>
      <w:r w:rsidR="000A653F">
        <w:t xml:space="preserve"> </w:t>
      </w:r>
      <w:r w:rsidR="00220868">
        <w:t>L</w:t>
      </w:r>
      <w:r w:rsidR="00635D04">
        <w:t>e poste</w:t>
      </w:r>
      <w:r w:rsidR="00220868">
        <w:t xml:space="preserve"> de la demanderesse est </w:t>
      </w:r>
      <w:r w:rsidR="00220868" w:rsidRPr="00220868">
        <w:t xml:space="preserve">si étroitement et directement lié à l’exercice, par </w:t>
      </w:r>
      <w:r w:rsidR="00220868">
        <w:t>la défende</w:t>
      </w:r>
      <w:r w:rsidR="00F77322">
        <w:t>re</w:t>
      </w:r>
      <w:r w:rsidR="00220868">
        <w:t>sse</w:t>
      </w:r>
      <w:r w:rsidR="00F77322">
        <w:t>,</w:t>
      </w:r>
      <w:r w:rsidR="00220868">
        <w:t xml:space="preserve"> de ses </w:t>
      </w:r>
      <w:r w:rsidR="00F77322" w:rsidRPr="00220868">
        <w:t>fonctions législatives</w:t>
      </w:r>
      <w:r w:rsidR="00220868" w:rsidRPr="00220868">
        <w:t xml:space="preserve"> et délibérante</w:t>
      </w:r>
      <w:r w:rsidR="00220868">
        <w:t>s</w:t>
      </w:r>
      <w:r w:rsidR="00F77322">
        <w:t>,</w:t>
      </w:r>
      <w:r w:rsidR="00220868" w:rsidRPr="00220868">
        <w:t xml:space="preserve"> qu’une intervention externe saperait l’autonomie dont l’</w:t>
      </w:r>
      <w:r w:rsidR="0030082D">
        <w:t>A</w:t>
      </w:r>
      <w:r w:rsidR="00220868" w:rsidRPr="00220868">
        <w:t>ssemblée ou son membre ont besoin pour accomplir leur travail dignement et efficacement</w:t>
      </w:r>
      <w:r w:rsidR="00220868">
        <w:rPr>
          <w:rStyle w:val="Appelnotedebasdep"/>
        </w:rPr>
        <w:footnoteReference w:id="14"/>
      </w:r>
      <w:r w:rsidR="00F77322">
        <w:t>.</w:t>
      </w:r>
    </w:p>
    <w:p w14:paraId="7C7CEE1B" w14:textId="1C33A660" w:rsidR="007E66D8" w:rsidRDefault="00282D0B" w:rsidP="007E66D8">
      <w:pPr>
        <w:pStyle w:val="Paragr6ptavantetaprsInterlignemultiple1"/>
        <w:spacing w:line="276" w:lineRule="auto"/>
      </w:pPr>
      <w:r>
        <w:t>L’analyse cependant</w:t>
      </w:r>
      <w:r w:rsidR="00843895">
        <w:t>,</w:t>
      </w:r>
      <w:r>
        <w:t xml:space="preserve"> ne peut s’arrêter à cette étape</w:t>
      </w:r>
      <w:r w:rsidR="00B855E1">
        <w:t xml:space="preserve">, </w:t>
      </w:r>
      <w:r w:rsidR="00EF13C8">
        <w:t xml:space="preserve">puisque </w:t>
      </w:r>
      <w:r w:rsidR="00B855E1">
        <w:t xml:space="preserve">la demande </w:t>
      </w:r>
      <w:r w:rsidR="00EF13C8">
        <w:t xml:space="preserve">vise </w:t>
      </w:r>
      <w:r w:rsidR="005B5D01">
        <w:t xml:space="preserve">les gestes commis à l’occasion du congédiement et non le congédiement en </w:t>
      </w:r>
      <w:r w:rsidR="00EF13C8">
        <w:t>tant que tel</w:t>
      </w:r>
      <w:r>
        <w:t xml:space="preserve">. </w:t>
      </w:r>
    </w:p>
    <w:p w14:paraId="42DEA5C1" w14:textId="5FC77D5D" w:rsidR="00A431E7" w:rsidRPr="00282D0B" w:rsidRDefault="00282D0B" w:rsidP="007E66D8">
      <w:pPr>
        <w:pStyle w:val="Paragr6ptavantetaprsInterlignemultiple1"/>
        <w:spacing w:line="276" w:lineRule="auto"/>
      </w:pPr>
      <w:r w:rsidRPr="00282D0B">
        <w:t>L</w:t>
      </w:r>
      <w:r w:rsidR="00A431E7" w:rsidRPr="00282D0B">
        <w:t xml:space="preserve">a défenderesse </w:t>
      </w:r>
      <w:r>
        <w:t xml:space="preserve">s’appuie </w:t>
      </w:r>
      <w:r w:rsidR="007E66D8">
        <w:t xml:space="preserve">à ce sujet </w:t>
      </w:r>
      <w:r>
        <w:t>sur</w:t>
      </w:r>
      <w:r w:rsidR="00A431E7" w:rsidRPr="00282D0B">
        <w:t xml:space="preserve"> l’affaire </w:t>
      </w:r>
      <w:r w:rsidR="00A431E7" w:rsidRPr="007E66D8">
        <w:rPr>
          <w:i/>
          <w:iCs/>
        </w:rPr>
        <w:t>Mari</w:t>
      </w:r>
      <w:r w:rsidR="00342D14" w:rsidRPr="007E66D8">
        <w:rPr>
          <w:i/>
          <w:iCs/>
        </w:rPr>
        <w:t>n</w:t>
      </w:r>
      <w:r w:rsidR="00342D14" w:rsidRPr="00282D0B">
        <w:rPr>
          <w:rStyle w:val="Appelnotedebasdep"/>
        </w:rPr>
        <w:footnoteReference w:id="15"/>
      </w:r>
      <w:r w:rsidR="00A431E7" w:rsidRPr="00282D0B">
        <w:t xml:space="preserve">, </w:t>
      </w:r>
      <w:r w:rsidR="000A653F">
        <w:t>dans laquelle la</w:t>
      </w:r>
      <w:r w:rsidR="00A431E7" w:rsidRPr="00282D0B">
        <w:t xml:space="preserve"> Cour supérieure de l’Ontario a conclu que l’ancien ombudsman de l’Assemblée législative ne </w:t>
      </w:r>
      <w:r w:rsidR="00A431E7" w:rsidRPr="00282D0B">
        <w:lastRenderedPageBreak/>
        <w:t>pouvait poursuivre celle-ci pour des dommages</w:t>
      </w:r>
      <w:r w:rsidR="000A653F">
        <w:t>,</w:t>
      </w:r>
      <w:r w:rsidR="00A431E7" w:rsidRPr="00282D0B">
        <w:t xml:space="preserve"> suivant le non-renouvellement de ses fonctions</w:t>
      </w:r>
      <w:r w:rsidR="00342D14" w:rsidRPr="00282D0B">
        <w:t> :</w:t>
      </w:r>
    </w:p>
    <w:p w14:paraId="0DB627DF" w14:textId="6604037F" w:rsidR="00342D14" w:rsidRPr="008A509D" w:rsidRDefault="00342D14" w:rsidP="009561DA">
      <w:pPr>
        <w:pStyle w:val="Paragr6ptavantetaprsInterlignemultiple1"/>
        <w:numPr>
          <w:ilvl w:val="0"/>
          <w:numId w:val="0"/>
        </w:numPr>
        <w:spacing w:line="240" w:lineRule="auto"/>
        <w:ind w:left="731" w:right="715"/>
        <w:rPr>
          <w:sz w:val="22"/>
          <w:szCs w:val="18"/>
          <w:lang w:val="en-CA"/>
        </w:rPr>
      </w:pPr>
      <w:r w:rsidRPr="008A509D">
        <w:rPr>
          <w:sz w:val="22"/>
          <w:szCs w:val="18"/>
          <w:lang w:val="en-CA"/>
        </w:rPr>
        <w:t>[70] In my view, in making this submission, the Plaintiff has taken the wrong approach. The question is not whether the process leading to the decision not to reappoint the Plaintiff to the office of Ombudsman - which would involve consideration of the circumstances described by the Plaintiff - is necessary. This question relates to the exercise by the Assembly of a particular category of privilege. The necessity test involves asking a different question, whether the categories of parliamentary privilege - the Assembly’s exclusive control over its own proceedings and its decision making in respect of appointment or reappointment of a parliamentary officer whose role relates to the Assembly’s work in holding government to account - are necessary because without such privilege, the dignity and efficiency of the Assembly cannot be upheld. Answering this question does not require consideration of the circumstances described by the Plaintiff: Ontario (Speaker of the Legislative Assembly) v. Ontario (Human Rights Commission) (2001), 2001 CanLII 8549 (ON CA), 54 O.R. (3d) 595 (C.A.) at paras. 22-26.</w:t>
      </w:r>
    </w:p>
    <w:p w14:paraId="2B58FD57" w14:textId="3E27AE41" w:rsidR="00342D14" w:rsidRPr="008A509D" w:rsidRDefault="00342D14" w:rsidP="009561DA">
      <w:pPr>
        <w:pStyle w:val="Paragr6ptavantetaprsInterlignemultiple1"/>
        <w:numPr>
          <w:ilvl w:val="0"/>
          <w:numId w:val="0"/>
        </w:numPr>
        <w:spacing w:line="240" w:lineRule="auto"/>
        <w:ind w:left="731" w:right="715"/>
        <w:rPr>
          <w:sz w:val="22"/>
          <w:szCs w:val="18"/>
          <w:u w:val="single"/>
          <w:lang w:val="en-CA"/>
        </w:rPr>
      </w:pPr>
      <w:r w:rsidRPr="008A509D">
        <w:rPr>
          <w:sz w:val="22"/>
          <w:szCs w:val="18"/>
          <w:lang w:val="en-CA"/>
        </w:rPr>
        <w:t xml:space="preserve">[71] </w:t>
      </w:r>
      <w:r w:rsidRPr="008A509D">
        <w:rPr>
          <w:sz w:val="22"/>
          <w:szCs w:val="18"/>
          <w:u w:val="single"/>
          <w:lang w:val="en-CA"/>
        </w:rPr>
        <w:t>The Plaintiff submits that because he is not seeking a right of reinstatement, a successful claim would not impair the work of the Assembly or any of its members. The Plaintiff submits that, if he is successful, his only entitlement would be to damages and the Assembly’s concerns will not materialize. I disagree. An adjudication of the Plaintiff’s claim would require the court to hear evidence concerning the conduct of the Assembly in relation to its motives and its internal process leading to the decision not to reappoint the Plaintiff to the office of Ombudsman. The Plaintiff’s claim for damages, if it were to proceed to adjudication, would still require the Assembly to be subject to an external review by the court of a matter within its exclusive jurisdiction.</w:t>
      </w:r>
    </w:p>
    <w:p w14:paraId="0C87BB82" w14:textId="157F9989" w:rsidR="00A431E7" w:rsidRPr="008A509D" w:rsidRDefault="00342D14" w:rsidP="009561DA">
      <w:pPr>
        <w:pStyle w:val="Paragr6ptavantetaprsInterlignemultiple1"/>
        <w:numPr>
          <w:ilvl w:val="0"/>
          <w:numId w:val="0"/>
        </w:numPr>
        <w:spacing w:line="240" w:lineRule="auto"/>
        <w:ind w:left="731" w:right="715"/>
        <w:rPr>
          <w:sz w:val="22"/>
          <w:szCs w:val="18"/>
          <w:lang w:val="en-CA"/>
        </w:rPr>
      </w:pPr>
      <w:r w:rsidRPr="008A509D">
        <w:rPr>
          <w:sz w:val="22"/>
          <w:szCs w:val="18"/>
          <w:lang w:val="en-CA"/>
        </w:rPr>
        <w:t xml:space="preserve">[72] I conclude that this action puts into issue the internal process and procedures of the Assembly in relation to the appointment of a parliamentary officer, the Ombudsman of Ontario, who fulfills part of the Assembly’s role in holding the government to account. I agree with the Assembly that a trial of this action would require the court to inquire into the </w:t>
      </w:r>
      <w:proofErr w:type="gramStart"/>
      <w:r w:rsidRPr="008A509D">
        <w:rPr>
          <w:sz w:val="22"/>
          <w:szCs w:val="18"/>
          <w:lang w:val="en-CA"/>
        </w:rPr>
        <w:t>manner in which</w:t>
      </w:r>
      <w:proofErr w:type="gramEnd"/>
      <w:r w:rsidRPr="008A509D">
        <w:rPr>
          <w:sz w:val="22"/>
          <w:szCs w:val="18"/>
          <w:lang w:val="en-CA"/>
        </w:rPr>
        <w:t xml:space="preserve"> the Assembly exercised recognized and </w:t>
      </w:r>
      <w:proofErr w:type="gramStart"/>
      <w:r w:rsidRPr="008A509D">
        <w:rPr>
          <w:sz w:val="22"/>
          <w:szCs w:val="18"/>
          <w:lang w:val="en-CA"/>
        </w:rPr>
        <w:t>constitutionally-guaranteed</w:t>
      </w:r>
      <w:proofErr w:type="gramEnd"/>
      <w:r w:rsidRPr="008A509D">
        <w:rPr>
          <w:sz w:val="22"/>
          <w:szCs w:val="18"/>
          <w:lang w:val="en-CA"/>
        </w:rPr>
        <w:t xml:space="preserve"> categories of parliamentary privilege that are within the exclusive jurisdiction of the Assembly. These categories are with respect to (i) the Assembly’s own internal proceedings, including development and delivery of an address of the Assembly, and (ii) the Assembly’s hiring of, management of and decision not to reappoint a parliamentary officer whose role relates to the Assembly’s work in holding government to account for the conduct of the province’s business.</w:t>
      </w:r>
    </w:p>
    <w:p w14:paraId="73CEA78A" w14:textId="64D6C4F7" w:rsidR="006E2409" w:rsidRPr="008A509D" w:rsidRDefault="006E2409" w:rsidP="004F0906">
      <w:pPr>
        <w:pStyle w:val="Paragr6ptavantetaprsInterlignemultiple1"/>
        <w:numPr>
          <w:ilvl w:val="0"/>
          <w:numId w:val="0"/>
        </w:numPr>
        <w:tabs>
          <w:tab w:val="left" w:pos="8505"/>
          <w:tab w:val="left" w:pos="8647"/>
        </w:tabs>
        <w:spacing w:line="276" w:lineRule="auto"/>
        <w:ind w:left="6579" w:firstLine="651"/>
      </w:pPr>
      <w:r w:rsidRPr="008A509D">
        <w:t>(Je souligne)</w:t>
      </w:r>
    </w:p>
    <w:p w14:paraId="644088F0" w14:textId="5B5C73F0" w:rsidR="00D021B1" w:rsidRPr="008A509D" w:rsidRDefault="00D021B1" w:rsidP="00D021B1">
      <w:pPr>
        <w:pStyle w:val="Paragr6ptavantetaprsInterlignemultiple1"/>
        <w:spacing w:line="276" w:lineRule="auto"/>
      </w:pPr>
      <w:r w:rsidRPr="008A509D">
        <w:lastRenderedPageBreak/>
        <w:t>Dans le dossier en l’occurrence, la demanderesse se trouve dans une situation analogue</w:t>
      </w:r>
      <w:r w:rsidR="0030082D">
        <w:t>,</w:t>
      </w:r>
      <w:r w:rsidRPr="008A509D">
        <w:t xml:space="preserve"> car elle ne réclame pas la réintégration dans son poste de cheffe de cabinet</w:t>
      </w:r>
      <w:r w:rsidR="0030082D">
        <w:t>,</w:t>
      </w:r>
      <w:r w:rsidRPr="008A509D">
        <w:t xml:space="preserve"> </w:t>
      </w:r>
      <w:r w:rsidR="00605511">
        <w:t xml:space="preserve">ou l’indemnité de délai </w:t>
      </w:r>
      <w:r w:rsidR="00807CBF">
        <w:t xml:space="preserve">de </w:t>
      </w:r>
      <w:r w:rsidR="00605511">
        <w:t>congé</w:t>
      </w:r>
      <w:r w:rsidR="00807CBF">
        <w:rPr>
          <w:rStyle w:val="Appelnotedebasdep"/>
        </w:rPr>
        <w:footnoteReference w:id="16"/>
      </w:r>
      <w:r w:rsidR="00605511">
        <w:t xml:space="preserve">, </w:t>
      </w:r>
      <w:r w:rsidRPr="008A509D">
        <w:t xml:space="preserve">mais uniquement des dommages. </w:t>
      </w:r>
    </w:p>
    <w:p w14:paraId="7609553C" w14:textId="7EF32D90" w:rsidR="00EF13C8" w:rsidRPr="00EF13C8" w:rsidRDefault="000A64D1" w:rsidP="00EF13C8">
      <w:pPr>
        <w:pStyle w:val="Paragr6ptavantetaprsInterlignemultiple1"/>
        <w:spacing w:line="276" w:lineRule="auto"/>
      </w:pPr>
      <w:r w:rsidRPr="008A509D">
        <w:t>Toutefois, m</w:t>
      </w:r>
      <w:r w:rsidR="00D021B1" w:rsidRPr="008A509D">
        <w:t xml:space="preserve">ême si le décision </w:t>
      </w:r>
      <w:r w:rsidR="00D021B1" w:rsidRPr="008A509D">
        <w:rPr>
          <w:i/>
          <w:iCs/>
        </w:rPr>
        <w:t>Marin</w:t>
      </w:r>
      <w:r w:rsidR="00D021B1" w:rsidRPr="008A509D">
        <w:t xml:space="preserve"> </w:t>
      </w:r>
      <w:r w:rsidR="000A653F" w:rsidRPr="00282D0B">
        <w:t>présente beaucoup de similitudes avec le dossier en l’occurrence</w:t>
      </w:r>
      <w:r w:rsidR="00A90485" w:rsidRPr="008A509D">
        <w:t xml:space="preserve">, elle </w:t>
      </w:r>
      <w:r w:rsidR="00342D14" w:rsidRPr="008A509D">
        <w:t>ne peut être suivie.</w:t>
      </w:r>
      <w:r w:rsidR="00A90485" w:rsidRPr="008A509D">
        <w:t xml:space="preserve"> En effet, dans l’arrêt </w:t>
      </w:r>
      <w:r w:rsidR="00A90485" w:rsidRPr="008A509D">
        <w:rPr>
          <w:i/>
          <w:iCs/>
        </w:rPr>
        <w:t>Chagnon</w:t>
      </w:r>
      <w:r w:rsidR="00EF13C8">
        <w:t>, p</w:t>
      </w:r>
      <w:r w:rsidR="00E06A59" w:rsidRPr="008A509D">
        <w:t>ostérieur</w:t>
      </w:r>
      <w:r w:rsidR="007302C8" w:rsidRPr="008A509D">
        <w:t xml:space="preserve"> à la décision de la Cour supérieure de l’Ontario</w:t>
      </w:r>
      <w:r w:rsidR="00E06A59" w:rsidRPr="008A509D">
        <w:t>,</w:t>
      </w:r>
      <w:r w:rsidR="00A90485" w:rsidRPr="008A509D">
        <w:t xml:space="preserve"> la Cour suprême </w:t>
      </w:r>
      <w:r w:rsidR="00981DD8" w:rsidRPr="008A509D">
        <w:t xml:space="preserve">du Canada </w:t>
      </w:r>
      <w:r w:rsidR="00EF13C8" w:rsidRPr="00EF13C8">
        <w:t>a énoncé deux principes qui ne permettent pas de retenir une telle conclusion.</w:t>
      </w:r>
    </w:p>
    <w:p w14:paraId="27E44A8A" w14:textId="53EB7A7A" w:rsidR="00D021B1" w:rsidRDefault="00D021B1" w:rsidP="00D021B1">
      <w:pPr>
        <w:pStyle w:val="Paragr6ptavantetaprsInterlignemultiple1"/>
        <w:spacing w:line="276" w:lineRule="auto"/>
      </w:pPr>
      <w:r w:rsidRPr="008A509D">
        <w:t>D’abord, elle a rappelé que le privilège parlementaire doit recevoir une interprétation téléologique</w:t>
      </w:r>
      <w:r w:rsidRPr="008A509D">
        <w:rPr>
          <w:rStyle w:val="Appelnotedebasdep"/>
        </w:rPr>
        <w:footnoteReference w:id="17"/>
      </w:r>
      <w:r w:rsidRPr="008A509D">
        <w:t xml:space="preserve"> et, ensuite, que l’analyse doit porter sur certaines fonctions ou certains aspects particuliers</w:t>
      </w:r>
      <w:r w:rsidRPr="008A509D">
        <w:rPr>
          <w:rStyle w:val="Appelnotedebasdep"/>
        </w:rPr>
        <w:footnoteReference w:id="18"/>
      </w:r>
      <w:r w:rsidRPr="008A509D">
        <w:t xml:space="preserve"> de la gestion du lien d’emploi. Ainsi, les motifs de la décision </w:t>
      </w:r>
      <w:r w:rsidRPr="008A509D">
        <w:rPr>
          <w:i/>
          <w:iCs/>
        </w:rPr>
        <w:t>Marin</w:t>
      </w:r>
      <w:r w:rsidR="008C3515" w:rsidRPr="008A509D">
        <w:rPr>
          <w:rStyle w:val="Appelnotedebasdep"/>
        </w:rPr>
        <w:footnoteReference w:id="19"/>
      </w:r>
      <w:r w:rsidR="008C3515">
        <w:t xml:space="preserve"> </w:t>
      </w:r>
      <w:r w:rsidRPr="008A509D">
        <w:t xml:space="preserve">correspondent plutôt à l’opinion des juges dissidents de l’arrêt </w:t>
      </w:r>
      <w:r w:rsidRPr="008A509D">
        <w:rPr>
          <w:i/>
          <w:iCs/>
        </w:rPr>
        <w:t>Chagnon</w:t>
      </w:r>
      <w:r w:rsidR="00290806">
        <w:t xml:space="preserve">, </w:t>
      </w:r>
      <w:r w:rsidRPr="008A509D">
        <w:t>alors qu</w:t>
      </w:r>
      <w:r w:rsidR="00605511">
        <w:t>e ces derniers</w:t>
      </w:r>
      <w:r w:rsidRPr="008A509D">
        <w:t xml:space="preserve"> amalgame</w:t>
      </w:r>
      <w:r w:rsidR="00605511">
        <w:t>nt</w:t>
      </w:r>
      <w:r w:rsidRPr="008A509D">
        <w:t xml:space="preserve"> les différents aspects d’un recours et </w:t>
      </w:r>
      <w:r w:rsidR="00605511">
        <w:t xml:space="preserve">le </w:t>
      </w:r>
      <w:r w:rsidRPr="008A509D">
        <w:t>traite</w:t>
      </w:r>
      <w:r w:rsidR="00605511">
        <w:t>nt</w:t>
      </w:r>
      <w:r w:rsidRPr="008A509D">
        <w:t xml:space="preserve"> comme un tout</w:t>
      </w:r>
      <w:r w:rsidR="00290806">
        <w:t xml:space="preserve"> indivisible</w:t>
      </w:r>
      <w:r w:rsidR="00257FC6" w:rsidRPr="008A509D">
        <w:t>.</w:t>
      </w:r>
    </w:p>
    <w:p w14:paraId="4832796C" w14:textId="5227EFE9" w:rsidR="00ED7665" w:rsidRDefault="00605511" w:rsidP="00D021B1">
      <w:pPr>
        <w:pStyle w:val="Paragr6ptavantetaprsInterlignemultiple1"/>
        <w:spacing w:line="276" w:lineRule="auto"/>
      </w:pPr>
      <w:r>
        <w:t xml:space="preserve">Dans l’arrêt </w:t>
      </w:r>
      <w:r w:rsidRPr="00605511">
        <w:rPr>
          <w:i/>
          <w:iCs/>
        </w:rPr>
        <w:t>Chagnon</w:t>
      </w:r>
      <w:r w:rsidR="004F0906">
        <w:rPr>
          <w:i/>
          <w:iCs/>
        </w:rPr>
        <w:t>,</w:t>
      </w:r>
      <w:r>
        <w:t xml:space="preserve"> on précise </w:t>
      </w:r>
      <w:r w:rsidR="00ED7665">
        <w:t xml:space="preserve">les </w:t>
      </w:r>
      <w:r w:rsidR="00A25C8E">
        <w:t>constats</w:t>
      </w:r>
      <w:r w:rsidR="00ED7665">
        <w:t xml:space="preserve"> de l’arrêt </w:t>
      </w:r>
      <w:r w:rsidR="00ED7665" w:rsidRPr="00ED7665">
        <w:rPr>
          <w:i/>
          <w:iCs/>
        </w:rPr>
        <w:t>Vaid</w:t>
      </w:r>
      <w:r w:rsidR="00ED7665">
        <w:t xml:space="preserve"> </w:t>
      </w:r>
      <w:r w:rsidR="00A25C8E">
        <w:t xml:space="preserve">dans lequel la Cour suprême avait conclu </w:t>
      </w:r>
      <w:r w:rsidR="00ED7665">
        <w:t xml:space="preserve">que l’arrêt anglais </w:t>
      </w:r>
      <w:r w:rsidR="00ED7665" w:rsidRPr="00ED7665">
        <w:rPr>
          <w:i/>
          <w:iCs/>
        </w:rPr>
        <w:t>Ex parte Herbert</w:t>
      </w:r>
      <w:r w:rsidR="00ED7665">
        <w:rPr>
          <w:rStyle w:val="Appelnotedebasdep"/>
        </w:rPr>
        <w:footnoteReference w:id="20"/>
      </w:r>
      <w:r w:rsidR="00ED7665">
        <w:t xml:space="preserve"> </w:t>
      </w:r>
      <w:r w:rsidR="00A25C8E">
        <w:t>de même que</w:t>
      </w:r>
      <w:r w:rsidR="00ED7665">
        <w:t xml:space="preserve"> le commentaire de Me Maingot</w:t>
      </w:r>
      <w:r w:rsidR="00ED7665">
        <w:rPr>
          <w:rStyle w:val="Appelnotedebasdep"/>
        </w:rPr>
        <w:footnoteReference w:id="21"/>
      </w:r>
      <w:r w:rsidR="00CC28FE">
        <w:t xml:space="preserve"> </w:t>
      </w:r>
      <w:r w:rsidR="00A25C8E">
        <w:t xml:space="preserve">portant sur l’absence de compétence des tribunaux à l’égard des </w:t>
      </w:r>
      <w:r w:rsidR="00ED7665" w:rsidRPr="00ED7665">
        <w:t xml:space="preserve">relations </w:t>
      </w:r>
      <w:r w:rsidR="00A25C8E">
        <w:t xml:space="preserve">d’emploi </w:t>
      </w:r>
      <w:r w:rsidR="00ED7665" w:rsidRPr="00ED7665">
        <w:t>avec la Chambre ou le Sénat</w:t>
      </w:r>
      <w:r w:rsidR="00A25C8E">
        <w:t>, ne sauraient recevoir application</w:t>
      </w:r>
      <w:r w:rsidR="00ED7665">
        <w:t xml:space="preserve">, </w:t>
      </w:r>
      <w:r w:rsidR="00A25C8E">
        <w:t>puisqu’ils reposent sur une</w:t>
      </w:r>
      <w:r>
        <w:t xml:space="preserve"> interprétation « </w:t>
      </w:r>
      <w:r w:rsidR="00ED7665">
        <w:t>trop large</w:t>
      </w:r>
      <w:r>
        <w:t> »</w:t>
      </w:r>
      <w:r w:rsidR="00ED7665">
        <w:rPr>
          <w:rStyle w:val="Appelnotedebasdep"/>
        </w:rPr>
        <w:footnoteReference w:id="22"/>
      </w:r>
      <w:r w:rsidR="00A25C8E">
        <w:t xml:space="preserve"> du privilège parlementaire</w:t>
      </w:r>
      <w:r w:rsidR="00ED7665">
        <w:t>.</w:t>
      </w:r>
      <w:r w:rsidR="00CC28FE">
        <w:t xml:space="preserve"> L’état du droit est </w:t>
      </w:r>
      <w:r>
        <w:t xml:space="preserve">résumé de la manière suivante </w:t>
      </w:r>
      <w:r w:rsidR="00CC28FE">
        <w:t>par le juge Binnie pour la Cour suprême unanime :</w:t>
      </w:r>
    </w:p>
    <w:p w14:paraId="6F82E43F" w14:textId="5A45C994" w:rsidR="00ED7665" w:rsidRPr="00CC28FE" w:rsidRDefault="00CC28FE" w:rsidP="009561DA">
      <w:pPr>
        <w:pStyle w:val="Paragr6ptavantetaprsInterlignemultiple1"/>
        <w:numPr>
          <w:ilvl w:val="0"/>
          <w:numId w:val="0"/>
        </w:numPr>
        <w:spacing w:line="240" w:lineRule="auto"/>
        <w:ind w:left="731" w:right="715"/>
        <w:rPr>
          <w:sz w:val="22"/>
          <w:szCs w:val="18"/>
        </w:rPr>
      </w:pPr>
      <w:bookmarkStart w:id="0" w:name="par46"/>
      <w:r w:rsidRPr="00CC28FE">
        <w:rPr>
          <w:b/>
          <w:bCs/>
          <w:sz w:val="22"/>
          <w:szCs w:val="18"/>
        </w:rPr>
        <w:t>46</w:t>
      </w:r>
      <w:bookmarkEnd w:id="0"/>
      <w:r>
        <w:rPr>
          <w:sz w:val="22"/>
          <w:szCs w:val="18"/>
        </w:rPr>
        <w:t>.</w:t>
      </w:r>
      <w:r w:rsidRPr="00CC28FE">
        <w:rPr>
          <w:sz w:val="22"/>
          <w:szCs w:val="18"/>
        </w:rPr>
        <w:t xml:space="preserve"> Toutes ces sources mènent à la même conclusion.  Pour justifier la revendication d’un privilège parlementaire, l’assemblée ou le membre qui cherchent à bénéficier de l’immunité qu’il confère doivent démontrer que la sphère d’activité à l’égard de laquelle le privilège est revendiqué est si étroitement et directement liée à l’exercice, par l’assemblée ou son membre, de leurs fonctions </w:t>
      </w:r>
      <w:r w:rsidRPr="00CC28FE">
        <w:rPr>
          <w:sz w:val="22"/>
          <w:szCs w:val="18"/>
        </w:rPr>
        <w:lastRenderedPageBreak/>
        <w:t>d’assemblée législative et délibérante, y compris leur tâche de demander des comptes au gouvernement, qu’une intervention externe saperait l’autonomie dont l’assemblée ou son membre ont besoin pour accomplir leur travail dignement et efficacement.</w:t>
      </w:r>
    </w:p>
    <w:p w14:paraId="3D6785EE" w14:textId="5AA05A77" w:rsidR="000A653F" w:rsidRDefault="005267CB" w:rsidP="000A653F">
      <w:pPr>
        <w:pStyle w:val="Paragr6ptavantetaprsInterlignemultiple1"/>
        <w:spacing w:line="276" w:lineRule="auto"/>
      </w:pPr>
      <w:r w:rsidRPr="008A509D">
        <w:t xml:space="preserve">En </w:t>
      </w:r>
      <w:r w:rsidR="000A653F">
        <w:t>appliquant l’approche téléologique</w:t>
      </w:r>
      <w:r w:rsidR="00605511">
        <w:rPr>
          <w:rStyle w:val="Appelnotedebasdep"/>
        </w:rPr>
        <w:footnoteReference w:id="23"/>
      </w:r>
      <w:r w:rsidR="000A653F">
        <w:t xml:space="preserve"> et donc en favorisant le fond sur la forme en fonction de la finalité de ce privilège à l’analyse de </w:t>
      </w:r>
      <w:r w:rsidRPr="008A509D">
        <w:t xml:space="preserve">la portée de ce </w:t>
      </w:r>
      <w:r w:rsidR="000A653F">
        <w:t>dernier</w:t>
      </w:r>
      <w:r w:rsidR="00D021B1" w:rsidRPr="008A509D">
        <w:rPr>
          <w:rStyle w:val="Appelnotedebasdep"/>
        </w:rPr>
        <w:footnoteReference w:id="24"/>
      </w:r>
      <w:r w:rsidR="008D7470" w:rsidRPr="008A509D">
        <w:t xml:space="preserve">, </w:t>
      </w:r>
      <w:r w:rsidRPr="008A509D">
        <w:t xml:space="preserve">on </w:t>
      </w:r>
      <w:r w:rsidR="008D7470" w:rsidRPr="008A509D">
        <w:t>doit conclure</w:t>
      </w:r>
      <w:r w:rsidRPr="008A509D">
        <w:t xml:space="preserve"> </w:t>
      </w:r>
      <w:r w:rsidR="000A653F" w:rsidRPr="008A509D">
        <w:t>qu’</w:t>
      </w:r>
      <w:r w:rsidR="000A653F">
        <w:t xml:space="preserve">il </w:t>
      </w:r>
      <w:r w:rsidR="000A653F" w:rsidRPr="008A509D">
        <w:t>ne d</w:t>
      </w:r>
      <w:r w:rsidR="000A653F">
        <w:t xml:space="preserve">evrait </w:t>
      </w:r>
      <w:r w:rsidR="000A653F" w:rsidRPr="008A509D">
        <w:t>pas</w:t>
      </w:r>
      <w:r w:rsidR="008C3515">
        <w:t>, par exemple,</w:t>
      </w:r>
      <w:r w:rsidR="000A653F" w:rsidRPr="008A509D">
        <w:t xml:space="preserve"> permettre d’humilier, de discriminer ou de diffamer </w:t>
      </w:r>
      <w:r w:rsidR="001160DE">
        <w:t>en</w:t>
      </w:r>
      <w:r w:rsidR="000A653F" w:rsidRPr="008A509D">
        <w:t xml:space="preserve"> toute impunité et sans conséquences</w:t>
      </w:r>
      <w:r w:rsidR="0032564F">
        <w:t>,</w:t>
      </w:r>
      <w:r w:rsidR="000A653F" w:rsidRPr="008A509D">
        <w:t xml:space="preserve"> </w:t>
      </w:r>
      <w:r w:rsidR="00290806">
        <w:t>un employé</w:t>
      </w:r>
      <w:r w:rsidR="00605511">
        <w:t xml:space="preserve"> de l’Assemblée nationale</w:t>
      </w:r>
      <w:r w:rsidR="00290806">
        <w:t xml:space="preserve"> </w:t>
      </w:r>
      <w:r w:rsidR="000A653F" w:rsidRPr="008A509D">
        <w:t>à l’occasion d</w:t>
      </w:r>
      <w:r w:rsidR="0032564F">
        <w:t>e son congédiement</w:t>
      </w:r>
      <w:r w:rsidR="000A653F" w:rsidRPr="008A509D">
        <w:t xml:space="preserve">. </w:t>
      </w:r>
      <w:r w:rsidR="00604D7F">
        <w:t xml:space="preserve">Il est difficile de </w:t>
      </w:r>
      <w:r w:rsidR="000A653F" w:rsidRPr="008A509D">
        <w:t>concevoir qu’une personne acceptant un poste dans une catégorie d’emploi couvert</w:t>
      </w:r>
      <w:r w:rsidR="00D40935">
        <w:t>e</w:t>
      </w:r>
      <w:r w:rsidR="000A653F" w:rsidRPr="008A509D">
        <w:t xml:space="preserve"> par le privilège parlementaire renoncerait</w:t>
      </w:r>
      <w:r w:rsidR="00290806">
        <w:t xml:space="preserve"> -</w:t>
      </w:r>
      <w:r w:rsidR="000A653F" w:rsidRPr="008A509D">
        <w:t xml:space="preserve"> d’avance</w:t>
      </w:r>
      <w:r w:rsidR="00BB140C">
        <w:t xml:space="preserve"> de surcroit</w:t>
      </w:r>
      <w:r w:rsidR="00290806">
        <w:t xml:space="preserve"> -</w:t>
      </w:r>
      <w:r w:rsidR="00BB140C">
        <w:t>,</w:t>
      </w:r>
      <w:r w:rsidR="000A653F" w:rsidRPr="008A509D">
        <w:t xml:space="preserve"> à tous ses droits et libertés fondamentaux dans le cadre de la gestion de son lien d’emploi.</w:t>
      </w:r>
    </w:p>
    <w:p w14:paraId="23AAE1E1" w14:textId="79B87713" w:rsidR="008C3515" w:rsidRDefault="008C3515" w:rsidP="0032564F">
      <w:pPr>
        <w:pStyle w:val="Paragr6ptavantetaprsInterlignemultiple1"/>
        <w:spacing w:line="276" w:lineRule="auto"/>
      </w:pPr>
      <w:r>
        <w:t>Ensuite</w:t>
      </w:r>
      <w:r w:rsidR="00290806">
        <w:t>, suivant l’</w:t>
      </w:r>
      <w:r w:rsidR="00984E35">
        <w:t xml:space="preserve">arrêt </w:t>
      </w:r>
      <w:r w:rsidR="00984E35" w:rsidRPr="00984E35">
        <w:rPr>
          <w:i/>
          <w:iCs/>
        </w:rPr>
        <w:t>Vaid</w:t>
      </w:r>
      <w:r w:rsidR="00984E35">
        <w:t xml:space="preserve"> et l’</w:t>
      </w:r>
      <w:r w:rsidR="00290806">
        <w:t xml:space="preserve">opinion majoritaire dans l’arrêt </w:t>
      </w:r>
      <w:r w:rsidR="00290806" w:rsidRPr="0032564F">
        <w:rPr>
          <w:i/>
          <w:iCs/>
        </w:rPr>
        <w:t>Chagnon</w:t>
      </w:r>
      <w:r w:rsidR="00290806">
        <w:t xml:space="preserve">, on doit aussi conclure que </w:t>
      </w:r>
      <w:r w:rsidR="0032564F">
        <w:t>l</w:t>
      </w:r>
      <w:r w:rsidR="00604D7F">
        <w:t xml:space="preserve">a détermination de la portée </w:t>
      </w:r>
      <w:r w:rsidR="0032564F">
        <w:t>du</w:t>
      </w:r>
      <w:r w:rsidR="00290806">
        <w:t xml:space="preserve"> privilège parlementaire</w:t>
      </w:r>
      <w:r w:rsidR="00DD53DA">
        <w:t xml:space="preserve"> </w:t>
      </w:r>
      <w:r w:rsidR="0032564F">
        <w:t xml:space="preserve">exige </w:t>
      </w:r>
      <w:r w:rsidR="00604D7F">
        <w:t xml:space="preserve">d’analyser </w:t>
      </w:r>
      <w:r w:rsidR="00984E35">
        <w:t xml:space="preserve">la </w:t>
      </w:r>
      <w:r w:rsidR="00984E35" w:rsidRPr="00984E35">
        <w:t xml:space="preserve">sphère d’activité </w:t>
      </w:r>
      <w:r w:rsidR="00984E35">
        <w:t xml:space="preserve">ainsi que </w:t>
      </w:r>
      <w:r w:rsidR="00521A42">
        <w:t>l</w:t>
      </w:r>
      <w:r w:rsidR="0032564F">
        <w:t xml:space="preserve">es </w:t>
      </w:r>
      <w:r w:rsidR="00521A42">
        <w:t xml:space="preserve">différents </w:t>
      </w:r>
      <w:r>
        <w:t>aspects du lien d’emploi :</w:t>
      </w:r>
    </w:p>
    <w:p w14:paraId="6F4600D3" w14:textId="1F4CC623" w:rsidR="008C3515" w:rsidRPr="008C3515" w:rsidRDefault="008C3515" w:rsidP="009561DA">
      <w:pPr>
        <w:pStyle w:val="Paragr6ptavantetaprsInterlignemultiple1"/>
        <w:numPr>
          <w:ilvl w:val="0"/>
          <w:numId w:val="0"/>
        </w:numPr>
        <w:spacing w:line="240" w:lineRule="auto"/>
        <w:ind w:left="731" w:right="680"/>
        <w:rPr>
          <w:sz w:val="22"/>
          <w:szCs w:val="18"/>
        </w:rPr>
      </w:pPr>
      <w:r w:rsidRPr="008C3515">
        <w:rPr>
          <w:sz w:val="22"/>
          <w:szCs w:val="18"/>
        </w:rPr>
        <w:t>[</w:t>
      </w:r>
      <w:bookmarkStart w:id="1" w:name="par37"/>
      <w:r w:rsidRPr="008C3515">
        <w:rPr>
          <w:sz w:val="22"/>
          <w:szCs w:val="18"/>
        </w:rPr>
        <w:t>37</w:t>
      </w:r>
      <w:bookmarkEnd w:id="1"/>
      <w:r w:rsidRPr="008C3515">
        <w:rPr>
          <w:sz w:val="22"/>
          <w:szCs w:val="18"/>
        </w:rPr>
        <w:t>] La présente affaire fait ressortir les difficultés liées au fait de tenter de reconnaître une catégorie de privilège qui englobe </w:t>
      </w:r>
      <w:r w:rsidRPr="008C3515">
        <w:rPr>
          <w:i/>
          <w:iCs/>
          <w:sz w:val="22"/>
          <w:szCs w:val="18"/>
        </w:rPr>
        <w:t>tous les aspects</w:t>
      </w:r>
      <w:r w:rsidRPr="008C3515">
        <w:rPr>
          <w:sz w:val="22"/>
          <w:szCs w:val="18"/>
        </w:rPr>
        <w:t> de la gestion d’un groupe d’employés et les décisions relatives à </w:t>
      </w:r>
      <w:r w:rsidRPr="008C3515">
        <w:rPr>
          <w:i/>
          <w:iCs/>
          <w:sz w:val="22"/>
          <w:szCs w:val="18"/>
        </w:rPr>
        <w:t>toutes </w:t>
      </w:r>
      <w:r w:rsidRPr="008C3515">
        <w:rPr>
          <w:sz w:val="22"/>
          <w:szCs w:val="18"/>
        </w:rPr>
        <w:t>les fonctions qu’exercent ces employés (voir E. Fox</w:t>
      </w:r>
      <w:r w:rsidRPr="008C3515">
        <w:rPr>
          <w:sz w:val="22"/>
          <w:szCs w:val="18"/>
        </w:rPr>
        <w:noBreakHyphen/>
        <w:t>Decent, « Le privilège parlementaire, la primauté du droit et la </w:t>
      </w:r>
      <w:hyperlink r:id="rId14" w:tgtFrame="_blank" w:history="1">
        <w:r w:rsidRPr="008C3515">
          <w:rPr>
            <w:rStyle w:val="Hyperlien"/>
            <w:color w:val="auto"/>
            <w:sz w:val="22"/>
            <w:szCs w:val="18"/>
          </w:rPr>
          <w:t>Charte </w:t>
        </w:r>
      </w:hyperlink>
      <w:r w:rsidRPr="008C3515">
        <w:rPr>
          <w:sz w:val="22"/>
          <w:szCs w:val="18"/>
        </w:rPr>
        <w:t> après l’affaire Vaid » (2007), 30:3 </w:t>
      </w:r>
      <w:r w:rsidRPr="008C3515">
        <w:rPr>
          <w:i/>
          <w:iCs/>
          <w:sz w:val="22"/>
          <w:szCs w:val="18"/>
        </w:rPr>
        <w:t xml:space="preserve">Rev. </w:t>
      </w:r>
      <w:proofErr w:type="gramStart"/>
      <w:r w:rsidRPr="008C3515">
        <w:rPr>
          <w:i/>
          <w:iCs/>
          <w:sz w:val="22"/>
          <w:szCs w:val="18"/>
        </w:rPr>
        <w:t>parl</w:t>
      </w:r>
      <w:proofErr w:type="gramEnd"/>
      <w:r w:rsidRPr="008C3515">
        <w:rPr>
          <w:i/>
          <w:iCs/>
          <w:sz w:val="22"/>
          <w:szCs w:val="18"/>
        </w:rPr>
        <w:t xml:space="preserve">. </w:t>
      </w:r>
      <w:proofErr w:type="gramStart"/>
      <w:r w:rsidRPr="008C3515">
        <w:rPr>
          <w:i/>
          <w:iCs/>
          <w:sz w:val="22"/>
          <w:szCs w:val="18"/>
        </w:rPr>
        <w:t>can</w:t>
      </w:r>
      <w:proofErr w:type="gramEnd"/>
      <w:r w:rsidRPr="008C3515">
        <w:rPr>
          <w:i/>
          <w:iCs/>
          <w:sz w:val="22"/>
          <w:szCs w:val="18"/>
        </w:rPr>
        <w:t>.</w:t>
      </w:r>
      <w:r w:rsidRPr="008C3515">
        <w:rPr>
          <w:sz w:val="22"/>
          <w:szCs w:val="18"/>
        </w:rPr>
        <w:t xml:space="preserve"> 29, p. 33). </w:t>
      </w:r>
      <w:r w:rsidRPr="00604D7F">
        <w:rPr>
          <w:sz w:val="22"/>
          <w:szCs w:val="18"/>
          <w:u w:val="single"/>
        </w:rPr>
        <w:t>Il pourrait être plus facile de satisfaire aux exigences du critère de la nécessité lorsque la portée de l’autonomie réclamée a trait au contrôle et à la supervision de certaines fonctions exercées par des employés du Parlement, ou de certains aspects de leur lien d’emploi</w:t>
      </w:r>
      <w:r w:rsidRPr="008C3515">
        <w:rPr>
          <w:sz w:val="22"/>
          <w:szCs w:val="18"/>
        </w:rPr>
        <w:t>. Cela dit, les parties n’ont pas formulé l’espèce de cette façon. Le président revendique l’existence d’un privilège parlementaire relatif à la gestion des gardiens de sécurité en tant que catégorie d’employés. Ce privilège aurait pour effet de protéger non seulement leur congédiement de toute révision fondée sur quelque motif que ce soit, mais aussi l’ensemble de leurs conditions de travail (du salaire à l’ancienneté).</w:t>
      </w:r>
    </w:p>
    <w:p w14:paraId="2B3BFDE8" w14:textId="068E19FF" w:rsidR="00604D7F" w:rsidRDefault="00401806" w:rsidP="00604D7F">
      <w:pPr>
        <w:pStyle w:val="Paragr6ptavantetaprsInterlignemultiple1"/>
        <w:numPr>
          <w:ilvl w:val="0"/>
          <w:numId w:val="0"/>
        </w:numPr>
        <w:ind w:left="5848" w:firstLine="731"/>
      </w:pPr>
      <w:r>
        <w:t xml:space="preserve">          </w:t>
      </w:r>
      <w:r w:rsidR="00604D7F">
        <w:t>(Je souligne)</w:t>
      </w:r>
    </w:p>
    <w:p w14:paraId="2B347547" w14:textId="60F17C57" w:rsidR="00BA0D24" w:rsidRPr="008A509D" w:rsidRDefault="00BA0D24" w:rsidP="00BA0D24">
      <w:pPr>
        <w:pStyle w:val="Paragr6ptavantetaprsInterlignemultiple1"/>
      </w:pPr>
      <w:r>
        <w:t xml:space="preserve">D’ailleurs, quelques années auparavant, </w:t>
      </w:r>
      <w:r w:rsidRPr="008A509D">
        <w:t xml:space="preserve">la juge Hardy-Lemieux soulignait </w:t>
      </w:r>
      <w:r>
        <w:t xml:space="preserve">ceci </w:t>
      </w:r>
      <w:r w:rsidRPr="008A509D">
        <w:t xml:space="preserve">dans l’affaire </w:t>
      </w:r>
      <w:r w:rsidRPr="008A509D">
        <w:rPr>
          <w:i/>
          <w:iCs/>
        </w:rPr>
        <w:t>Filion</w:t>
      </w:r>
      <w:r w:rsidRPr="008A509D">
        <w:rPr>
          <w:rStyle w:val="Appelnotedebasdep"/>
        </w:rPr>
        <w:footnoteReference w:id="25"/>
      </w:r>
      <w:r w:rsidRPr="008A509D">
        <w:t> :</w:t>
      </w:r>
    </w:p>
    <w:p w14:paraId="1683E443" w14:textId="77777777" w:rsidR="00BA0D24" w:rsidRPr="008A509D" w:rsidRDefault="00BA0D24" w:rsidP="00D40935">
      <w:pPr>
        <w:pStyle w:val="paragraphe0"/>
        <w:spacing w:before="120" w:beforeAutospacing="0" w:after="120" w:afterAutospacing="0"/>
        <w:ind w:left="731" w:right="680"/>
        <w:jc w:val="both"/>
        <w:rPr>
          <w:rFonts w:ascii="Arial" w:hAnsi="Arial" w:cs="Arial"/>
          <w:sz w:val="22"/>
          <w:szCs w:val="22"/>
        </w:rPr>
      </w:pPr>
      <w:r w:rsidRPr="008A509D">
        <w:rPr>
          <w:rFonts w:ascii="Arial" w:hAnsi="Arial" w:cs="Arial"/>
          <w:sz w:val="22"/>
          <w:szCs w:val="22"/>
        </w:rPr>
        <w:t>[</w:t>
      </w:r>
      <w:bookmarkStart w:id="2" w:name="par102"/>
      <w:r w:rsidRPr="008A509D">
        <w:rPr>
          <w:rFonts w:ascii="Arial" w:hAnsi="Arial" w:cs="Arial"/>
          <w:sz w:val="22"/>
          <w:szCs w:val="22"/>
        </w:rPr>
        <w:t>102</w:t>
      </w:r>
      <w:bookmarkEnd w:id="2"/>
      <w:r w:rsidRPr="008A509D">
        <w:rPr>
          <w:rFonts w:ascii="Arial" w:hAnsi="Arial" w:cs="Arial"/>
          <w:sz w:val="22"/>
          <w:szCs w:val="22"/>
        </w:rPr>
        <w:t>]</w:t>
      </w:r>
      <w:r w:rsidRPr="008A509D">
        <w:rPr>
          <w:sz w:val="22"/>
          <w:szCs w:val="22"/>
        </w:rPr>
        <w:t> </w:t>
      </w:r>
      <w:r w:rsidRPr="008A509D">
        <w:rPr>
          <w:rFonts w:ascii="Arial" w:hAnsi="Arial" w:cs="Arial"/>
          <w:sz w:val="22"/>
          <w:szCs w:val="22"/>
        </w:rPr>
        <w:t>Il est bien établi qu’un député ne dispose d’une immunité absolue que relativement aux propos et aux gestes qu’il pose</w:t>
      </w:r>
      <w:proofErr w:type="gramStart"/>
      <w:r w:rsidRPr="008A509D">
        <w:rPr>
          <w:rFonts w:ascii="Arial" w:hAnsi="Arial" w:cs="Arial"/>
          <w:sz w:val="22"/>
          <w:szCs w:val="22"/>
        </w:rPr>
        <w:t xml:space="preserve"> «dans</w:t>
      </w:r>
      <w:proofErr w:type="gramEnd"/>
      <w:r w:rsidRPr="008A509D">
        <w:rPr>
          <w:rFonts w:ascii="Arial" w:hAnsi="Arial" w:cs="Arial"/>
          <w:sz w:val="22"/>
          <w:szCs w:val="22"/>
        </w:rPr>
        <w:t xml:space="preserve"> le cadre des travaux de la Chambre des </w:t>
      </w:r>
      <w:proofErr w:type="gramStart"/>
      <w:r w:rsidRPr="008A509D">
        <w:rPr>
          <w:rFonts w:ascii="Arial" w:hAnsi="Arial" w:cs="Arial"/>
          <w:sz w:val="22"/>
          <w:szCs w:val="22"/>
        </w:rPr>
        <w:t>communes»</w:t>
      </w:r>
      <w:proofErr w:type="gramEnd"/>
      <w:r w:rsidRPr="008A509D">
        <w:rPr>
          <w:rFonts w:ascii="Arial" w:hAnsi="Arial" w:cs="Arial"/>
          <w:sz w:val="22"/>
          <w:szCs w:val="22"/>
        </w:rPr>
        <w:t xml:space="preserve"> ou de l’Assemblée nationale, selon le cas.</w:t>
      </w:r>
    </w:p>
    <w:p w14:paraId="5CD88C0B" w14:textId="77777777" w:rsidR="00BA0D24" w:rsidRPr="008A509D" w:rsidRDefault="00BA0D24" w:rsidP="009561DA">
      <w:pPr>
        <w:pStyle w:val="paragraphe0"/>
        <w:spacing w:before="120" w:beforeAutospacing="0" w:after="120" w:afterAutospacing="0"/>
        <w:ind w:left="731" w:right="680"/>
        <w:jc w:val="both"/>
        <w:rPr>
          <w:rFonts w:ascii="Arial" w:hAnsi="Arial" w:cs="Arial"/>
          <w:sz w:val="22"/>
          <w:szCs w:val="22"/>
        </w:rPr>
      </w:pPr>
      <w:r w:rsidRPr="008A509D">
        <w:rPr>
          <w:rFonts w:ascii="Arial" w:hAnsi="Arial" w:cs="Arial"/>
          <w:sz w:val="22"/>
          <w:szCs w:val="22"/>
        </w:rPr>
        <w:lastRenderedPageBreak/>
        <w:t>[</w:t>
      </w:r>
      <w:bookmarkStart w:id="3" w:name="par103"/>
      <w:r w:rsidRPr="008A509D">
        <w:rPr>
          <w:rFonts w:ascii="Arial" w:hAnsi="Arial" w:cs="Arial"/>
          <w:sz w:val="22"/>
          <w:szCs w:val="22"/>
        </w:rPr>
        <w:t>103</w:t>
      </w:r>
      <w:bookmarkEnd w:id="3"/>
      <w:r w:rsidRPr="008A509D">
        <w:rPr>
          <w:rFonts w:ascii="Arial" w:hAnsi="Arial" w:cs="Arial"/>
          <w:sz w:val="22"/>
          <w:szCs w:val="22"/>
        </w:rPr>
        <w:t>]</w:t>
      </w:r>
      <w:r w:rsidRPr="008A509D">
        <w:rPr>
          <w:sz w:val="22"/>
          <w:szCs w:val="22"/>
        </w:rPr>
        <w:t> </w:t>
      </w:r>
      <w:r w:rsidRPr="008A509D">
        <w:rPr>
          <w:rFonts w:ascii="Arial" w:hAnsi="Arial" w:cs="Arial"/>
          <w:sz w:val="22"/>
          <w:szCs w:val="22"/>
        </w:rPr>
        <w:t>Madame la juge Dutil, pour la Cour d’appel dans l’arrêt </w:t>
      </w:r>
      <w:r w:rsidRPr="008A509D">
        <w:rPr>
          <w:rFonts w:ascii="Arial" w:hAnsi="Arial" w:cs="Arial"/>
          <w:sz w:val="22"/>
          <w:szCs w:val="22"/>
          <w:u w:val="single"/>
        </w:rPr>
        <w:t>Michaud</w:t>
      </w:r>
      <w:r w:rsidRPr="008A509D">
        <w:rPr>
          <w:rFonts w:ascii="Arial" w:hAnsi="Arial" w:cs="Arial"/>
          <w:sz w:val="22"/>
          <w:szCs w:val="22"/>
        </w:rPr>
        <w:t xml:space="preserve"> rappelle que :</w:t>
      </w:r>
    </w:p>
    <w:p w14:paraId="7A817A8D" w14:textId="77777777" w:rsidR="00BA0D24" w:rsidRPr="008A509D" w:rsidRDefault="00BA0D24" w:rsidP="009561DA">
      <w:pPr>
        <w:pStyle w:val="citationenretrait0"/>
        <w:spacing w:before="120" w:beforeAutospacing="0" w:after="120" w:afterAutospacing="0"/>
        <w:ind w:left="1309" w:right="680"/>
        <w:jc w:val="both"/>
        <w:rPr>
          <w:rFonts w:ascii="Arial" w:hAnsi="Arial" w:cs="Arial"/>
          <w:sz w:val="22"/>
          <w:szCs w:val="22"/>
        </w:rPr>
      </w:pPr>
      <w:proofErr w:type="gramStart"/>
      <w:r w:rsidRPr="008A509D">
        <w:rPr>
          <w:rFonts w:ascii="Arial" w:hAnsi="Arial" w:cs="Arial"/>
          <w:sz w:val="22"/>
          <w:szCs w:val="22"/>
        </w:rPr>
        <w:t>«[</w:t>
      </w:r>
      <w:proofErr w:type="gramEnd"/>
      <w:r w:rsidRPr="008A509D">
        <w:rPr>
          <w:rFonts w:ascii="Arial" w:hAnsi="Arial" w:cs="Arial"/>
          <w:sz w:val="22"/>
          <w:szCs w:val="22"/>
        </w:rPr>
        <w:t>50] Le rôle du Tribunal est limité lorsqu’un privilège parlementaire est invoqué.  Il ne consiste qu’à vérifier son existence et sa portée, mais non son exercice</w:t>
      </w:r>
      <w:proofErr w:type="gramStart"/>
      <w:r w:rsidRPr="008A509D">
        <w:rPr>
          <w:rFonts w:ascii="Arial" w:hAnsi="Arial" w:cs="Arial"/>
          <w:sz w:val="22"/>
          <w:szCs w:val="22"/>
        </w:rPr>
        <w:t>.»</w:t>
      </w:r>
      <w:proofErr w:type="gramEnd"/>
    </w:p>
    <w:p w14:paraId="54477D64" w14:textId="77777777" w:rsidR="00BA0D24" w:rsidRPr="008A509D" w:rsidRDefault="00BA0D24" w:rsidP="00BA0D24">
      <w:pPr>
        <w:pStyle w:val="paragraphe0"/>
        <w:spacing w:before="120" w:beforeAutospacing="0" w:after="120" w:afterAutospacing="0"/>
        <w:ind w:left="731"/>
        <w:jc w:val="both"/>
        <w:rPr>
          <w:rFonts w:ascii="Arial" w:hAnsi="Arial" w:cs="Arial"/>
          <w:sz w:val="22"/>
          <w:szCs w:val="22"/>
        </w:rPr>
      </w:pPr>
      <w:r w:rsidRPr="008A509D">
        <w:rPr>
          <w:rFonts w:ascii="Arial" w:hAnsi="Arial" w:cs="Arial"/>
          <w:sz w:val="22"/>
          <w:szCs w:val="22"/>
        </w:rPr>
        <w:t>(…)</w:t>
      </w:r>
    </w:p>
    <w:p w14:paraId="55A23D11" w14:textId="77777777" w:rsidR="00BA0D24" w:rsidRPr="008A509D" w:rsidRDefault="00BA0D24" w:rsidP="009561DA">
      <w:pPr>
        <w:pStyle w:val="paragraphe0"/>
        <w:spacing w:before="120" w:beforeAutospacing="0" w:after="120" w:afterAutospacing="0"/>
        <w:ind w:left="731" w:right="680"/>
        <w:jc w:val="both"/>
        <w:rPr>
          <w:rFonts w:ascii="Arial" w:hAnsi="Arial" w:cs="Arial"/>
          <w:sz w:val="22"/>
          <w:szCs w:val="22"/>
        </w:rPr>
      </w:pPr>
      <w:r w:rsidRPr="008A509D">
        <w:rPr>
          <w:rFonts w:ascii="Arial" w:hAnsi="Arial" w:cs="Arial"/>
          <w:sz w:val="22"/>
          <w:szCs w:val="22"/>
        </w:rPr>
        <w:t>[</w:t>
      </w:r>
      <w:bookmarkStart w:id="4" w:name="par107"/>
      <w:r w:rsidRPr="008A509D">
        <w:rPr>
          <w:rFonts w:ascii="Arial" w:hAnsi="Arial" w:cs="Arial"/>
          <w:sz w:val="22"/>
          <w:szCs w:val="22"/>
        </w:rPr>
        <w:t>107</w:t>
      </w:r>
      <w:bookmarkEnd w:id="4"/>
      <w:r w:rsidRPr="008A509D">
        <w:rPr>
          <w:rFonts w:ascii="Arial" w:hAnsi="Arial" w:cs="Arial"/>
          <w:sz w:val="22"/>
          <w:szCs w:val="22"/>
        </w:rPr>
        <w:t>]</w:t>
      </w:r>
      <w:r w:rsidRPr="008A509D">
        <w:rPr>
          <w:sz w:val="22"/>
          <w:szCs w:val="22"/>
        </w:rPr>
        <w:t> </w:t>
      </w:r>
      <w:r w:rsidRPr="008A509D">
        <w:rPr>
          <w:rFonts w:ascii="Arial" w:hAnsi="Arial" w:cs="Arial"/>
          <w:sz w:val="22"/>
          <w:szCs w:val="22"/>
        </w:rPr>
        <w:t>De la lecture de la loi et des règlements, le Tribunal conclut que les nominations de membres du personnel du député sont permises pour assister ce dernier dans l’exercice de ses fonctions et non sur un plan personnel.</w:t>
      </w:r>
    </w:p>
    <w:p w14:paraId="4C0DA9EA" w14:textId="77777777" w:rsidR="00BA0D24" w:rsidRPr="008A509D" w:rsidRDefault="00BA0D24" w:rsidP="009561DA">
      <w:pPr>
        <w:pStyle w:val="paragraphe0"/>
        <w:spacing w:before="120" w:beforeAutospacing="0" w:after="120" w:afterAutospacing="0"/>
        <w:ind w:left="731" w:right="680"/>
        <w:jc w:val="both"/>
        <w:rPr>
          <w:rFonts w:ascii="Arial" w:hAnsi="Arial" w:cs="Arial"/>
          <w:sz w:val="22"/>
          <w:szCs w:val="22"/>
        </w:rPr>
      </w:pPr>
      <w:r w:rsidRPr="008A509D">
        <w:rPr>
          <w:rFonts w:ascii="Arial" w:hAnsi="Arial" w:cs="Arial"/>
          <w:sz w:val="22"/>
          <w:szCs w:val="22"/>
        </w:rPr>
        <w:t>[</w:t>
      </w:r>
      <w:bookmarkStart w:id="5" w:name="par108"/>
      <w:r w:rsidRPr="008A509D">
        <w:rPr>
          <w:rFonts w:ascii="Arial" w:hAnsi="Arial" w:cs="Arial"/>
          <w:sz w:val="22"/>
          <w:szCs w:val="22"/>
        </w:rPr>
        <w:t>108</w:t>
      </w:r>
      <w:bookmarkEnd w:id="5"/>
      <w:r w:rsidRPr="008A509D">
        <w:rPr>
          <w:rFonts w:ascii="Arial" w:hAnsi="Arial" w:cs="Arial"/>
          <w:sz w:val="22"/>
          <w:szCs w:val="22"/>
        </w:rPr>
        <w:t>]</w:t>
      </w:r>
      <w:r w:rsidRPr="008A509D">
        <w:rPr>
          <w:sz w:val="22"/>
          <w:szCs w:val="22"/>
        </w:rPr>
        <w:t> </w:t>
      </w:r>
      <w:r w:rsidRPr="008A509D">
        <w:rPr>
          <w:rFonts w:ascii="Arial" w:hAnsi="Arial" w:cs="Arial"/>
          <w:sz w:val="22"/>
          <w:szCs w:val="22"/>
        </w:rPr>
        <w:t>Il est important de rappeler que le principe d’entière indépendance du député ne s’applique qu’en relation avec l’exercice de ses fonctions.  Il ne saurait concerner les faits et gestes personnels ou professionnels non reliés au travail d’un élu de l’Assemblée nationale.</w:t>
      </w:r>
    </w:p>
    <w:p w14:paraId="433C4FB2" w14:textId="6919AFDE" w:rsidR="00BA0D24" w:rsidRPr="008A509D" w:rsidRDefault="00D40935" w:rsidP="00BA0D24">
      <w:pPr>
        <w:pStyle w:val="Paragr6ptavantetaprsInterlignemultiple1"/>
        <w:numPr>
          <w:ilvl w:val="0"/>
          <w:numId w:val="0"/>
        </w:numPr>
        <w:ind w:left="5117" w:firstLine="731"/>
      </w:pPr>
      <w:r>
        <w:t xml:space="preserve">         </w:t>
      </w:r>
      <w:r w:rsidR="00BA0D24" w:rsidRPr="008A509D">
        <w:t>(Références omises)</w:t>
      </w:r>
    </w:p>
    <w:p w14:paraId="2AB12CA1" w14:textId="00D7EB90" w:rsidR="00A431E7" w:rsidRPr="008A509D" w:rsidRDefault="0068343F" w:rsidP="0032564F">
      <w:pPr>
        <w:pStyle w:val="Paragr6ptavantetaprsInterlignemultiple1"/>
        <w:spacing w:line="276" w:lineRule="auto"/>
      </w:pPr>
      <w:r>
        <w:t xml:space="preserve">En application de ces </w:t>
      </w:r>
      <w:r w:rsidR="004F0906">
        <w:t>précédents</w:t>
      </w:r>
      <w:r>
        <w:t xml:space="preserve">, </w:t>
      </w:r>
      <w:r w:rsidR="0032564F">
        <w:t xml:space="preserve">il m’apparait que le privilège parlementaire permettant de mettre fin à l’emploi du directeur de cabinet, comme en l’instance, </w:t>
      </w:r>
      <w:r w:rsidR="005267CB" w:rsidRPr="008A509D">
        <w:t>n’inclut pas</w:t>
      </w:r>
      <w:r w:rsidR="008C3515">
        <w:t xml:space="preserve"> l’ensemble des conditions de travail </w:t>
      </w:r>
      <w:r w:rsidR="004F0906">
        <w:t>ni</w:t>
      </w:r>
      <w:r w:rsidR="008C3515">
        <w:t xml:space="preserve"> </w:t>
      </w:r>
      <w:r w:rsidR="005267CB" w:rsidRPr="008A509D">
        <w:t xml:space="preserve">la manière </w:t>
      </w:r>
      <w:r w:rsidR="008D7470" w:rsidRPr="008A509D">
        <w:t>d</w:t>
      </w:r>
      <w:r w:rsidR="0032564F">
        <w:t>e poser ce geste</w:t>
      </w:r>
      <w:r w:rsidR="008D7470" w:rsidRPr="008A509D">
        <w:t>.</w:t>
      </w:r>
      <w:r w:rsidR="00290806">
        <w:t xml:space="preserve"> </w:t>
      </w:r>
      <w:r w:rsidR="0032564F">
        <w:t>En effet, l</w:t>
      </w:r>
      <w:r w:rsidR="00D021B1" w:rsidRPr="008A509D">
        <w:t>a sphère d’activité</w:t>
      </w:r>
      <w:r w:rsidR="00D021B1" w:rsidRPr="008A509D">
        <w:rPr>
          <w:rStyle w:val="Appelnotedebasdep"/>
        </w:rPr>
        <w:footnoteReference w:id="26"/>
      </w:r>
      <w:r w:rsidR="00D021B1" w:rsidRPr="008A509D">
        <w:t xml:space="preserve"> </w:t>
      </w:r>
      <w:r w:rsidR="0032564F">
        <w:t xml:space="preserve">protégée ne </w:t>
      </w:r>
      <w:r w:rsidR="008C3515">
        <w:t xml:space="preserve">devrait pas </w:t>
      </w:r>
      <w:r w:rsidR="00516FD8">
        <w:t>comprendre</w:t>
      </w:r>
      <w:r w:rsidR="00D026B9">
        <w:t xml:space="preserve"> </w:t>
      </w:r>
      <w:r w:rsidR="0032564F">
        <w:t>l’at</w:t>
      </w:r>
      <w:r w:rsidR="00D021B1" w:rsidRPr="008A509D">
        <w:t>teinte aux droits et libertés fondamentaux</w:t>
      </w:r>
      <w:r w:rsidR="00984E35">
        <w:t xml:space="preserve"> de l’employé</w:t>
      </w:r>
      <w:r w:rsidR="00D021B1" w:rsidRPr="008A509D">
        <w:t xml:space="preserve">. </w:t>
      </w:r>
      <w:r w:rsidR="00984E35">
        <w:t xml:space="preserve">Autrement dit, le privilège parlementaire </w:t>
      </w:r>
      <w:r w:rsidR="004E154F">
        <w:t xml:space="preserve">ne </w:t>
      </w:r>
      <w:r w:rsidR="002F5AFE">
        <w:t xml:space="preserve">devrait pas </w:t>
      </w:r>
      <w:r w:rsidR="00984E35">
        <w:t xml:space="preserve">permettre de </w:t>
      </w:r>
      <w:r w:rsidR="004E154F">
        <w:t xml:space="preserve">revendiquer </w:t>
      </w:r>
      <w:r w:rsidR="008D7470" w:rsidRPr="008A509D">
        <w:t xml:space="preserve">une immunité totale et </w:t>
      </w:r>
      <w:r w:rsidR="004E154F">
        <w:t xml:space="preserve">un </w:t>
      </w:r>
      <w:r w:rsidR="008D7470" w:rsidRPr="008A509D">
        <w:t>chèque en blanc</w:t>
      </w:r>
      <w:r w:rsidR="00FF5A31">
        <w:t>,</w:t>
      </w:r>
      <w:r w:rsidR="008D7470" w:rsidRPr="008A509D">
        <w:t xml:space="preserve"> </w:t>
      </w:r>
      <w:r w:rsidR="00FF5A31">
        <w:t xml:space="preserve">sur </w:t>
      </w:r>
      <w:r w:rsidR="00984E35">
        <w:t xml:space="preserve">toutes </w:t>
      </w:r>
      <w:r w:rsidR="00FF5A31">
        <w:t xml:space="preserve">les circonstances entourant </w:t>
      </w:r>
      <w:r w:rsidR="008D7470" w:rsidRPr="008A509D">
        <w:t xml:space="preserve">le congédiement de </w:t>
      </w:r>
      <w:r w:rsidR="00984E35">
        <w:t>l</w:t>
      </w:r>
      <w:r w:rsidR="008D7470" w:rsidRPr="008A509D">
        <w:t xml:space="preserve">a </w:t>
      </w:r>
      <w:r w:rsidR="00984E35">
        <w:t>directrice</w:t>
      </w:r>
      <w:r w:rsidR="008D7470" w:rsidRPr="008A509D">
        <w:t xml:space="preserve"> de cabinet</w:t>
      </w:r>
      <w:r w:rsidR="00984E35">
        <w:t xml:space="preserve"> du chef de l’opposition officielle.</w:t>
      </w:r>
      <w:r w:rsidR="008D7470" w:rsidRPr="008A509D">
        <w:t xml:space="preserve"> </w:t>
      </w:r>
    </w:p>
    <w:p w14:paraId="5AC684D6" w14:textId="574316FD" w:rsidR="00793DC6" w:rsidRDefault="004F0906" w:rsidP="00793DC6">
      <w:pPr>
        <w:pStyle w:val="Paragr6ptavantetaprsInterlignemultiple1"/>
        <w:spacing w:line="276" w:lineRule="auto"/>
      </w:pPr>
      <w:r>
        <w:t>Je rappelle</w:t>
      </w:r>
      <w:r w:rsidR="00AA01E6" w:rsidRPr="008A509D">
        <w:t xml:space="preserve"> que</w:t>
      </w:r>
      <w:r w:rsidR="005267CB" w:rsidRPr="008A509D">
        <w:t xml:space="preserve"> la demanderesse ne </w:t>
      </w:r>
      <w:r w:rsidR="00AA01E6" w:rsidRPr="008A509D">
        <w:t>vise pas à faire</w:t>
      </w:r>
      <w:r w:rsidR="005267CB" w:rsidRPr="008A509D">
        <w:t xml:space="preserve"> casser </w:t>
      </w:r>
      <w:r w:rsidR="00AA01E6" w:rsidRPr="008A509D">
        <w:t>son</w:t>
      </w:r>
      <w:r w:rsidR="005267CB" w:rsidRPr="008A509D">
        <w:t xml:space="preserve"> congédiement</w:t>
      </w:r>
      <w:r w:rsidR="00D40935">
        <w:t>,</w:t>
      </w:r>
      <w:r w:rsidR="005267CB" w:rsidRPr="008A509D">
        <w:t xml:space="preserve"> mais </w:t>
      </w:r>
      <w:r w:rsidR="00AA01E6" w:rsidRPr="008A509D">
        <w:t xml:space="preserve">réclame plutôt et </w:t>
      </w:r>
      <w:r w:rsidR="005267CB" w:rsidRPr="008A509D">
        <w:t xml:space="preserve">uniquement des dommages. </w:t>
      </w:r>
      <w:r w:rsidR="00605511">
        <w:t>Ainsi, la demanderesse ne réclame pas réellement l’application du « droit général du travail » pour reprendre le vocabulaire de la Cour suprême</w:t>
      </w:r>
      <w:r w:rsidR="009212A7">
        <w:t>,</w:t>
      </w:r>
      <w:r w:rsidR="00605511">
        <w:t xml:space="preserve"> mais davantage du droit de la responsabilité civile et des droits de la personne. Sa demande </w:t>
      </w:r>
      <w:r w:rsidR="005267CB" w:rsidRPr="008A509D">
        <w:t xml:space="preserve">n’interfère pas </w:t>
      </w:r>
      <w:r w:rsidR="00D026B9">
        <w:t xml:space="preserve">directement </w:t>
      </w:r>
      <w:r w:rsidR="005267CB" w:rsidRPr="008A509D">
        <w:t xml:space="preserve">avec le privilège parlementaire </w:t>
      </w:r>
      <w:r w:rsidR="00605511">
        <w:t>alors qu’</w:t>
      </w:r>
      <w:r w:rsidR="005267CB" w:rsidRPr="008A509D">
        <w:t>une condamnation à des dommages et intérêts ne p</w:t>
      </w:r>
      <w:r w:rsidR="00D026B9">
        <w:t>ourrait</w:t>
      </w:r>
      <w:r w:rsidR="005267CB" w:rsidRPr="008A509D">
        <w:t xml:space="preserve"> être </w:t>
      </w:r>
      <w:r w:rsidR="00605511">
        <w:t xml:space="preserve">de toute manière </w:t>
      </w:r>
      <w:r w:rsidR="005267CB" w:rsidRPr="008A509D">
        <w:t xml:space="preserve">– </w:t>
      </w:r>
      <w:r w:rsidR="00220868">
        <w:t>selon les représentations à l’audience</w:t>
      </w:r>
      <w:r w:rsidR="005267CB" w:rsidRPr="008A509D">
        <w:t xml:space="preserve"> – ordonnée par des instances parlementaires. </w:t>
      </w:r>
      <w:r w:rsidR="00793DC6">
        <w:t xml:space="preserve">En conclusion, la réponse à la question de l’arrêt </w:t>
      </w:r>
      <w:r w:rsidR="00793DC6" w:rsidRPr="00793DC6">
        <w:rPr>
          <w:i/>
          <w:iCs/>
        </w:rPr>
        <w:t>Chagnon</w:t>
      </w:r>
      <w:r w:rsidR="00793DC6">
        <w:t xml:space="preserve"> doit, en l’occurrence,</w:t>
      </w:r>
      <w:r w:rsidR="00793DC6" w:rsidRPr="00793DC6">
        <w:t xml:space="preserve"> </w:t>
      </w:r>
      <w:r w:rsidR="00793DC6">
        <w:t>être négative.</w:t>
      </w:r>
    </w:p>
    <w:p w14:paraId="59B22700" w14:textId="4BC4FF5A" w:rsidR="004E154F" w:rsidRDefault="004E154F" w:rsidP="00B9711B">
      <w:pPr>
        <w:pStyle w:val="Paragr6ptavantetaprsInterlignemultiple1"/>
        <w:spacing w:line="276" w:lineRule="auto"/>
      </w:pPr>
      <w:r>
        <w:t>Évidemment</w:t>
      </w:r>
      <w:r w:rsidR="00D40935">
        <w:t>,</w:t>
      </w:r>
      <w:r>
        <w:t xml:space="preserve"> </w:t>
      </w:r>
      <w:r w:rsidR="00984E35">
        <w:t xml:space="preserve">reconnaitre la compétence de tribunaux sur </w:t>
      </w:r>
      <w:r w:rsidR="007A1A4D">
        <w:t>la façon de mettre fin à l’emploi</w:t>
      </w:r>
      <w:r>
        <w:t xml:space="preserve"> pose un autre problème potentiel, soit des réclamations </w:t>
      </w:r>
      <w:r w:rsidR="00494DB2">
        <w:t xml:space="preserve">dépourvues de sérieux de la part </w:t>
      </w:r>
      <w:r>
        <w:t>des personnes congédiées ou licenciées</w:t>
      </w:r>
      <w:r w:rsidR="00494DB2">
        <w:t>, qui,</w:t>
      </w:r>
      <w:r>
        <w:t xml:space="preserve"> afin de rendre </w:t>
      </w:r>
      <w:r w:rsidR="00494DB2">
        <w:t xml:space="preserve">leur recours justiciable, </w:t>
      </w:r>
      <w:r w:rsidR="00DC1578">
        <w:t>allègueraient</w:t>
      </w:r>
      <w:r w:rsidR="00494DB2">
        <w:t xml:space="preserve"> </w:t>
      </w:r>
      <w:r>
        <w:t>subir des dommages à l’occasion d</w:t>
      </w:r>
      <w:r w:rsidR="00605511">
        <w:t>’une telle décision,</w:t>
      </w:r>
      <w:r>
        <w:t xml:space="preserve"> par </w:t>
      </w:r>
      <w:r>
        <w:lastRenderedPageBreak/>
        <w:t>ailleurs protégé</w:t>
      </w:r>
      <w:r w:rsidR="00605511">
        <w:t>e</w:t>
      </w:r>
      <w:r>
        <w:t xml:space="preserve"> par le privilège parlementaire.</w:t>
      </w:r>
      <w:r w:rsidR="00220868">
        <w:t xml:space="preserve"> </w:t>
      </w:r>
      <w:r w:rsidR="00494DB2" w:rsidRPr="00494DB2">
        <w:t xml:space="preserve">Dans un tel contexte, le privilège perdrait une grande partie de sa raison d’être ou de son utilité, puisque ces </w:t>
      </w:r>
      <w:r w:rsidR="00E731C4">
        <w:t>actions</w:t>
      </w:r>
      <w:r w:rsidR="00494DB2" w:rsidRPr="00494DB2">
        <w:t xml:space="preserve"> se retrouveraient, en définitive, soumis</w:t>
      </w:r>
      <w:r w:rsidR="00E731C4">
        <w:t>es</w:t>
      </w:r>
      <w:r w:rsidR="00494DB2" w:rsidRPr="00494DB2">
        <w:t xml:space="preserve"> à l’examen des tribunaux.</w:t>
      </w:r>
      <w:r w:rsidR="006E5F88">
        <w:t xml:space="preserve"> </w:t>
      </w:r>
      <w:r w:rsidR="00682DC0">
        <w:t xml:space="preserve">Cette question exigerait </w:t>
      </w:r>
      <w:r w:rsidR="00E731C4">
        <w:t xml:space="preserve">sans doute une </w:t>
      </w:r>
      <w:r w:rsidR="00682DC0">
        <w:t xml:space="preserve">analyse préliminaire d’un dossier dans le prisme de l’abus de procédure afin de déterminer si la réclamation </w:t>
      </w:r>
      <w:r w:rsidR="007A1A4D">
        <w:t>n’</w:t>
      </w:r>
      <w:r w:rsidR="00682DC0">
        <w:t xml:space="preserve">est </w:t>
      </w:r>
      <w:r w:rsidR="007A1A4D">
        <w:t xml:space="preserve">pas </w:t>
      </w:r>
      <w:r w:rsidR="00682DC0">
        <w:t xml:space="preserve">dépourvue de </w:t>
      </w:r>
      <w:r w:rsidR="00E731C4">
        <w:t>chances raisonnables de succès</w:t>
      </w:r>
      <w:r w:rsidR="00682DC0">
        <w:t>. En l’</w:t>
      </w:r>
      <w:r w:rsidR="00793DC6">
        <w:t>espèce</w:t>
      </w:r>
      <w:r w:rsidR="00682DC0">
        <w:t xml:space="preserve"> </w:t>
      </w:r>
      <w:r w:rsidR="00220868">
        <w:t>cependant</w:t>
      </w:r>
      <w:r w:rsidR="00682DC0">
        <w:t>,</w:t>
      </w:r>
      <w:r w:rsidR="00220868">
        <w:t xml:space="preserve"> </w:t>
      </w:r>
      <w:r w:rsidR="00682DC0">
        <w:t xml:space="preserve">la défenderesse ne </w:t>
      </w:r>
      <w:r w:rsidR="00793DC6">
        <w:t xml:space="preserve">soulève pas cet argument et </w:t>
      </w:r>
      <w:r w:rsidR="00220868">
        <w:t>le dossier</w:t>
      </w:r>
      <w:r w:rsidR="00793DC6">
        <w:t>,</w:t>
      </w:r>
      <w:r w:rsidR="00220868">
        <w:t xml:space="preserve"> tel qu</w:t>
      </w:r>
      <w:r w:rsidR="00682DC0">
        <w:t xml:space="preserve">e constitué </w:t>
      </w:r>
      <w:r w:rsidR="00220868">
        <w:t>actuellement</w:t>
      </w:r>
      <w:r w:rsidR="00793DC6">
        <w:t>,</w:t>
      </w:r>
      <w:r w:rsidR="00220868">
        <w:t xml:space="preserve"> </w:t>
      </w:r>
      <w:r w:rsidR="00682DC0">
        <w:t xml:space="preserve">laisse </w:t>
      </w:r>
      <w:r w:rsidR="00793DC6">
        <w:t>entrevoir</w:t>
      </w:r>
      <w:r w:rsidR="00682DC0">
        <w:t xml:space="preserve"> un débat raisonnable sur les allégations ayant trait au contexte d</w:t>
      </w:r>
      <w:r w:rsidR="007A1A4D">
        <w:t>e ce</w:t>
      </w:r>
      <w:r w:rsidR="00682DC0">
        <w:t xml:space="preserve"> </w:t>
      </w:r>
      <w:r w:rsidR="00220868">
        <w:t>congédiement</w:t>
      </w:r>
      <w:r w:rsidR="00793DC6">
        <w:t>,</w:t>
      </w:r>
      <w:r w:rsidR="00220868">
        <w:t xml:space="preserve"> </w:t>
      </w:r>
      <w:r w:rsidR="007A1A4D">
        <w:t xml:space="preserve">imposé </w:t>
      </w:r>
      <w:r w:rsidR="00220868">
        <w:t xml:space="preserve">pour </w:t>
      </w:r>
      <w:r w:rsidR="006D6662">
        <w:t xml:space="preserve">manquement aux règles d’éthique et pour </w:t>
      </w:r>
      <w:r w:rsidR="00220868">
        <w:t>insubordination</w:t>
      </w:r>
      <w:r w:rsidR="00B9711B" w:rsidRPr="00B9711B">
        <w:t>.</w:t>
      </w:r>
    </w:p>
    <w:p w14:paraId="1CDA8286" w14:textId="19104B6E" w:rsidR="00B721EB" w:rsidRPr="008A509D" w:rsidRDefault="00B721EB" w:rsidP="007273CB">
      <w:pPr>
        <w:pStyle w:val="Paragr6ptavantetaprsInterlignemultiple1"/>
        <w:spacing w:line="276" w:lineRule="auto"/>
      </w:pPr>
      <w:r w:rsidRPr="008A509D">
        <w:t xml:space="preserve">Enfin, la comparaison avec l’immunité </w:t>
      </w:r>
      <w:r w:rsidR="005267CB" w:rsidRPr="008A509D">
        <w:t>judiciaire</w:t>
      </w:r>
      <w:r w:rsidRPr="008A509D">
        <w:t xml:space="preserve"> plaidée par la </w:t>
      </w:r>
      <w:r w:rsidR="005267CB" w:rsidRPr="008A509D">
        <w:t>défenderesse</w:t>
      </w:r>
      <w:r w:rsidRPr="008A509D">
        <w:t xml:space="preserve"> </w:t>
      </w:r>
      <w:r w:rsidR="008D7470" w:rsidRPr="008A509D">
        <w:t>appuie les présents motifs</w:t>
      </w:r>
      <w:r w:rsidRPr="008A509D">
        <w:t>.</w:t>
      </w:r>
      <w:r w:rsidR="004E154F">
        <w:t xml:space="preserve"> </w:t>
      </w:r>
      <w:r w:rsidR="006E5F88">
        <w:t xml:space="preserve">L’immunité judiciaire </w:t>
      </w:r>
      <w:r w:rsidR="008D7470" w:rsidRPr="008A509D">
        <w:t xml:space="preserve">protège les actes judiciaires accomplis dans le cadre de la fonction juridictionnelle, mais elle ne soustrait pas nécessairement un juge à toute responsabilité pour des actes étrangers à ses fonctions. </w:t>
      </w:r>
      <w:r w:rsidR="006E5F88">
        <w:t xml:space="preserve">Elle </w:t>
      </w:r>
      <w:r w:rsidR="006E5F88" w:rsidRPr="008A509D">
        <w:t>n</w:t>
      </w:r>
      <w:r w:rsidR="006D6662">
        <w:t>’équivaut pas à l’</w:t>
      </w:r>
      <w:r w:rsidR="006E5F88" w:rsidRPr="008A509D">
        <w:t>impunité générale</w:t>
      </w:r>
      <w:r w:rsidR="006E5F88">
        <w:t xml:space="preserve">. </w:t>
      </w:r>
      <w:r w:rsidR="005D62FF">
        <w:t>De la même manière</w:t>
      </w:r>
      <w:r w:rsidR="008D7470" w:rsidRPr="008A509D">
        <w:t xml:space="preserve">, le privilège parlementaire protège la décision de la défenderesse de </w:t>
      </w:r>
      <w:r w:rsidR="007273CB">
        <w:t xml:space="preserve">congédier </w:t>
      </w:r>
      <w:r w:rsidR="008D7470" w:rsidRPr="008A509D">
        <w:t>la demanderesse</w:t>
      </w:r>
      <w:r w:rsidR="0006798C">
        <w:t>,</w:t>
      </w:r>
      <w:r w:rsidR="008D7470" w:rsidRPr="008A509D">
        <w:t xml:space="preserve"> mais</w:t>
      </w:r>
      <w:r w:rsidR="000A64D1" w:rsidRPr="008A509D">
        <w:t xml:space="preserve"> n</w:t>
      </w:r>
      <w:r w:rsidR="009657C3">
        <w:t xml:space="preserve">’inclut pas </w:t>
      </w:r>
      <w:r w:rsidR="007273CB">
        <w:t xml:space="preserve">« tous les aspects de la gestion » du lien d’emploi et donc ne vise pas </w:t>
      </w:r>
      <w:r w:rsidR="000A64D1" w:rsidRPr="008A509D">
        <w:t xml:space="preserve">les fautes </w:t>
      </w:r>
      <w:r w:rsidR="005D62FF">
        <w:t xml:space="preserve">distinctes pouvant avoir été commises à l’occasion de </w:t>
      </w:r>
      <w:r w:rsidR="007273CB">
        <w:t>cette</w:t>
      </w:r>
      <w:r w:rsidR="005D62FF">
        <w:t xml:space="preserve"> </w:t>
      </w:r>
      <w:r w:rsidR="000A64D1" w:rsidRPr="008A509D">
        <w:t>décision.</w:t>
      </w:r>
    </w:p>
    <w:p w14:paraId="34491773" w14:textId="77777777" w:rsidR="00CF51ED" w:rsidRPr="008A509D" w:rsidRDefault="0043392D" w:rsidP="00AF3D61">
      <w:pPr>
        <w:pStyle w:val="Titre2"/>
        <w:numPr>
          <w:ilvl w:val="0"/>
          <w:numId w:val="0"/>
        </w:numPr>
        <w:spacing w:line="276" w:lineRule="auto"/>
        <w:rPr>
          <w:u w:val="none"/>
        </w:rPr>
      </w:pPr>
      <w:bookmarkStart w:id="6" w:name="_Toc430945548"/>
      <w:r w:rsidRPr="008A509D">
        <w:rPr>
          <w:u w:val="none"/>
        </w:rPr>
        <w:t>Pa</w:t>
      </w:r>
      <w:r w:rsidR="00007687" w:rsidRPr="008A509D">
        <w:rPr>
          <w:u w:val="none"/>
        </w:rPr>
        <w:t xml:space="preserve">R CES MOTIFS, </w:t>
      </w:r>
      <w:r w:rsidR="008A4532" w:rsidRPr="008A509D">
        <w:rPr>
          <w:u w:val="none"/>
        </w:rPr>
        <w:t>LE TRIBUNAL :</w:t>
      </w:r>
      <w:bookmarkEnd w:id="6"/>
    </w:p>
    <w:p w14:paraId="166C07A5" w14:textId="2AF94E28" w:rsidR="00AB1AAF" w:rsidRPr="008A509D" w:rsidRDefault="00547C67" w:rsidP="00AF3D61">
      <w:pPr>
        <w:pStyle w:val="Paragrsimple"/>
        <w:spacing w:line="276" w:lineRule="auto"/>
      </w:pPr>
      <w:r w:rsidRPr="008A509D">
        <w:rPr>
          <w:b/>
          <w:bCs/>
        </w:rPr>
        <w:t>REJETTE</w:t>
      </w:r>
      <w:r w:rsidRPr="008A509D">
        <w:t xml:space="preserve"> </w:t>
      </w:r>
      <w:r w:rsidR="005267CB" w:rsidRPr="008A509D">
        <w:t>le moyen déclinatoire</w:t>
      </w:r>
      <w:r w:rsidRPr="008A509D">
        <w:t>;</w:t>
      </w:r>
    </w:p>
    <w:p w14:paraId="496E07B4" w14:textId="2BA90600" w:rsidR="00CF51ED" w:rsidRPr="008A509D" w:rsidRDefault="0043392D" w:rsidP="00AF3D61">
      <w:pPr>
        <w:pStyle w:val="Paragr6ptavantetaprsInterlignemultiple1"/>
        <w:spacing w:line="276" w:lineRule="auto"/>
      </w:pPr>
      <w:r w:rsidRPr="008A509D">
        <w:rPr>
          <w:b/>
        </w:rPr>
        <w:t xml:space="preserve">AVEC </w:t>
      </w:r>
      <w:r w:rsidRPr="008A509D">
        <w:t>frais de justice.</w:t>
      </w:r>
    </w:p>
    <w:tbl>
      <w:tblPr>
        <w:tblW w:w="9505" w:type="dxa"/>
        <w:tblLayout w:type="fixed"/>
        <w:tblCellMar>
          <w:left w:w="70" w:type="dxa"/>
          <w:right w:w="70" w:type="dxa"/>
        </w:tblCellMar>
        <w:tblLook w:val="0000" w:firstRow="0" w:lastRow="0" w:firstColumn="0" w:lastColumn="0" w:noHBand="0" w:noVBand="0"/>
      </w:tblPr>
      <w:tblGrid>
        <w:gridCol w:w="2197"/>
        <w:gridCol w:w="2670"/>
        <w:gridCol w:w="4638"/>
      </w:tblGrid>
      <w:tr w:rsidR="008A509D" w:rsidRPr="008A509D" w14:paraId="1467970F" w14:textId="77777777" w:rsidTr="00BA153A">
        <w:trPr>
          <w:trHeight w:val="576"/>
        </w:trPr>
        <w:tc>
          <w:tcPr>
            <w:tcW w:w="9505" w:type="dxa"/>
            <w:gridSpan w:val="3"/>
          </w:tcPr>
          <w:p w14:paraId="7C84F994" w14:textId="77777777" w:rsidR="00121A72" w:rsidRPr="008A509D" w:rsidRDefault="00121A72" w:rsidP="00D26929">
            <w:pPr>
              <w:keepNext/>
              <w:keepLines/>
            </w:pPr>
          </w:p>
        </w:tc>
      </w:tr>
      <w:tr w:rsidR="008A509D" w:rsidRPr="00F165DB" w14:paraId="789C5F7E" w14:textId="77777777" w:rsidTr="00BA153A">
        <w:tblPrEx>
          <w:tblCellMar>
            <w:left w:w="0" w:type="dxa"/>
            <w:right w:w="0" w:type="dxa"/>
          </w:tblCellMar>
        </w:tblPrEx>
        <w:trPr>
          <w:cantSplit/>
        </w:trPr>
        <w:tc>
          <w:tcPr>
            <w:tcW w:w="4867" w:type="dxa"/>
            <w:gridSpan w:val="2"/>
          </w:tcPr>
          <w:p w14:paraId="651ACA54" w14:textId="77777777" w:rsidR="00121A72" w:rsidRPr="008A509D" w:rsidRDefault="00121A72" w:rsidP="00D26929"/>
        </w:tc>
        <w:tc>
          <w:tcPr>
            <w:tcW w:w="4638" w:type="dxa"/>
          </w:tcPr>
          <w:p w14:paraId="4FD0D4FA" w14:textId="77777777" w:rsidR="00F110CE" w:rsidRPr="008A509D" w:rsidRDefault="00F110CE" w:rsidP="00547C67">
            <w:pPr>
              <w:pStyle w:val="zSoquijdatSignature3Juge"/>
              <w:jc w:val="center"/>
              <w:rPr>
                <w:b/>
                <w:bCs/>
                <w:lang w:val="pl-PL"/>
              </w:rPr>
            </w:pPr>
            <w:r w:rsidRPr="008A509D">
              <w:rPr>
                <w:b/>
                <w:bCs/>
                <w:lang w:val="pl-PL"/>
              </w:rPr>
              <w:t>__________________________________</w:t>
            </w:r>
          </w:p>
          <w:p w14:paraId="19875A35" w14:textId="77777777" w:rsidR="00121A72" w:rsidRPr="008A509D" w:rsidRDefault="00F110CE" w:rsidP="00547C67">
            <w:pPr>
              <w:pStyle w:val="zSoquijdatSignature3Juge"/>
              <w:jc w:val="center"/>
              <w:rPr>
                <w:b/>
                <w:bCs/>
                <w:lang w:val="es-419"/>
              </w:rPr>
            </w:pPr>
            <w:r w:rsidRPr="008A509D">
              <w:rPr>
                <w:b/>
                <w:bCs/>
                <w:lang w:val="es-419"/>
              </w:rPr>
              <w:t>LUKASZ GRANOSIK, j.c.s.</w:t>
            </w:r>
          </w:p>
        </w:tc>
      </w:tr>
      <w:tr w:rsidR="008A509D" w:rsidRPr="00F165DB" w14:paraId="375019FB" w14:textId="77777777" w:rsidTr="00BA153A">
        <w:tc>
          <w:tcPr>
            <w:tcW w:w="9505" w:type="dxa"/>
            <w:gridSpan w:val="3"/>
          </w:tcPr>
          <w:p w14:paraId="2208667A" w14:textId="77777777" w:rsidR="00121A72" w:rsidRPr="008A509D" w:rsidRDefault="00121A72" w:rsidP="00D26929">
            <w:pPr>
              <w:rPr>
                <w:lang w:val="es-419"/>
              </w:rPr>
            </w:pPr>
          </w:p>
        </w:tc>
      </w:tr>
      <w:tr w:rsidR="008A509D" w:rsidRPr="008A509D" w14:paraId="3185326E" w14:textId="77777777" w:rsidTr="00BA153A">
        <w:trPr>
          <w:cantSplit/>
        </w:trPr>
        <w:tc>
          <w:tcPr>
            <w:tcW w:w="9505" w:type="dxa"/>
            <w:gridSpan w:val="3"/>
          </w:tcPr>
          <w:p w14:paraId="17018CDA" w14:textId="11899D70" w:rsidR="00121A72" w:rsidRPr="008A509D" w:rsidRDefault="00D3089F" w:rsidP="00D26929">
            <w:pPr>
              <w:pStyle w:val="zSoquijdatNomProcureurDem"/>
            </w:pPr>
            <w:r w:rsidRPr="008A509D">
              <w:t>Me</w:t>
            </w:r>
            <w:r w:rsidR="00C22EE9" w:rsidRPr="008A509D">
              <w:t xml:space="preserve"> </w:t>
            </w:r>
            <w:r w:rsidR="00F72737" w:rsidRPr="008A509D">
              <w:t xml:space="preserve">Jacques Jeansonne </w:t>
            </w:r>
          </w:p>
        </w:tc>
      </w:tr>
      <w:tr w:rsidR="008A509D" w:rsidRPr="008A509D" w14:paraId="7DF2F424" w14:textId="77777777" w:rsidTr="00BA153A">
        <w:trPr>
          <w:cantSplit/>
        </w:trPr>
        <w:tc>
          <w:tcPr>
            <w:tcW w:w="9505" w:type="dxa"/>
            <w:gridSpan w:val="3"/>
          </w:tcPr>
          <w:p w14:paraId="553218EC" w14:textId="4FEBCCB6" w:rsidR="00F72737" w:rsidRPr="008A509D" w:rsidRDefault="00F72737" w:rsidP="00D26929">
            <w:pPr>
              <w:pStyle w:val="zSoquijdatNomProcureurDem"/>
            </w:pPr>
            <w:r w:rsidRPr="008A509D">
              <w:t xml:space="preserve">Me Vincent Piché </w:t>
            </w:r>
          </w:p>
        </w:tc>
      </w:tr>
      <w:tr w:rsidR="008A509D" w:rsidRPr="008A509D" w14:paraId="53D319F2" w14:textId="77777777" w:rsidTr="00BA153A">
        <w:trPr>
          <w:cantSplit/>
        </w:trPr>
        <w:tc>
          <w:tcPr>
            <w:tcW w:w="9505" w:type="dxa"/>
            <w:gridSpan w:val="3"/>
          </w:tcPr>
          <w:p w14:paraId="5DEC7861" w14:textId="5A1DB374" w:rsidR="00F658C5" w:rsidRPr="008A509D" w:rsidRDefault="00F72737" w:rsidP="007A6884">
            <w:pPr>
              <w:pStyle w:val="zSoquijdatCabinetProcureurDem"/>
              <w:rPr>
                <w:smallCaps/>
              </w:rPr>
            </w:pPr>
            <w:r w:rsidRPr="008A509D">
              <w:rPr>
                <w:smallCaps/>
              </w:rPr>
              <w:t xml:space="preserve">Jeansonne avocats inc.  </w:t>
            </w:r>
          </w:p>
        </w:tc>
      </w:tr>
      <w:tr w:rsidR="008A509D" w:rsidRPr="008A509D" w14:paraId="1B17DE88" w14:textId="77777777" w:rsidTr="00BA153A">
        <w:trPr>
          <w:cantSplit/>
        </w:trPr>
        <w:tc>
          <w:tcPr>
            <w:tcW w:w="9505" w:type="dxa"/>
            <w:gridSpan w:val="3"/>
          </w:tcPr>
          <w:p w14:paraId="64974AA7" w14:textId="407A4FCB" w:rsidR="00121A72" w:rsidRPr="008A509D" w:rsidRDefault="0086649C" w:rsidP="00D3089F">
            <w:pPr>
              <w:pStyle w:val="zSoquijlblProcureurDem"/>
            </w:pPr>
            <w:r w:rsidRPr="008A509D">
              <w:t>Avocat</w:t>
            </w:r>
            <w:r w:rsidR="00F72737" w:rsidRPr="008A509D">
              <w:t>s</w:t>
            </w:r>
            <w:r w:rsidR="00D3089F" w:rsidRPr="008A509D">
              <w:t xml:space="preserve"> </w:t>
            </w:r>
            <w:r w:rsidRPr="008A509D">
              <w:t>de la demanderesse</w:t>
            </w:r>
          </w:p>
        </w:tc>
      </w:tr>
      <w:tr w:rsidR="008A509D" w:rsidRPr="008A509D" w14:paraId="69F2F20D" w14:textId="77777777" w:rsidTr="00BA153A">
        <w:trPr>
          <w:cantSplit/>
        </w:trPr>
        <w:tc>
          <w:tcPr>
            <w:tcW w:w="9505" w:type="dxa"/>
            <w:gridSpan w:val="3"/>
          </w:tcPr>
          <w:p w14:paraId="7DC0D687" w14:textId="77777777" w:rsidR="00121A72" w:rsidRPr="008A509D" w:rsidRDefault="00121A72" w:rsidP="00D26929"/>
        </w:tc>
      </w:tr>
      <w:tr w:rsidR="008A509D" w:rsidRPr="008A509D" w14:paraId="3E39ECB5" w14:textId="77777777" w:rsidTr="00BA153A">
        <w:trPr>
          <w:cantSplit/>
        </w:trPr>
        <w:tc>
          <w:tcPr>
            <w:tcW w:w="9505" w:type="dxa"/>
            <w:gridSpan w:val="3"/>
          </w:tcPr>
          <w:p w14:paraId="283CC40D" w14:textId="39487782" w:rsidR="00121A72" w:rsidRPr="008A509D" w:rsidRDefault="00D3089F" w:rsidP="00D26929">
            <w:pPr>
              <w:pStyle w:val="zSoquijdatNomProcureurDef"/>
            </w:pPr>
            <w:r w:rsidRPr="008A509D">
              <w:t>Me</w:t>
            </w:r>
            <w:r w:rsidR="0086649C" w:rsidRPr="008A509D">
              <w:t xml:space="preserve"> </w:t>
            </w:r>
            <w:r w:rsidR="00F72737" w:rsidRPr="008A509D">
              <w:t>Léa Couture</w:t>
            </w:r>
            <w:r w:rsidR="00F165DB">
              <w:t>-Thériault</w:t>
            </w:r>
          </w:p>
        </w:tc>
      </w:tr>
      <w:tr w:rsidR="008A509D" w:rsidRPr="008A509D" w14:paraId="22EBDE42" w14:textId="77777777" w:rsidTr="00BA153A">
        <w:trPr>
          <w:cantSplit/>
        </w:trPr>
        <w:tc>
          <w:tcPr>
            <w:tcW w:w="9505" w:type="dxa"/>
            <w:gridSpan w:val="3"/>
          </w:tcPr>
          <w:p w14:paraId="20D83EBF" w14:textId="285B5D40" w:rsidR="00F72737" w:rsidRPr="008A509D" w:rsidRDefault="00F72737" w:rsidP="00D26929">
            <w:pPr>
              <w:pStyle w:val="zSoquijdatNomProcureurDef"/>
            </w:pPr>
            <w:r w:rsidRPr="008A509D">
              <w:t xml:space="preserve">Me Briana Fragapane </w:t>
            </w:r>
          </w:p>
        </w:tc>
      </w:tr>
      <w:tr w:rsidR="008A509D" w:rsidRPr="008A509D" w14:paraId="1855B0EA" w14:textId="77777777" w:rsidTr="00BA153A">
        <w:trPr>
          <w:cantSplit/>
        </w:trPr>
        <w:tc>
          <w:tcPr>
            <w:tcW w:w="9505" w:type="dxa"/>
            <w:gridSpan w:val="3"/>
          </w:tcPr>
          <w:p w14:paraId="4F3AA841" w14:textId="6F86E721" w:rsidR="00121A72" w:rsidRPr="008A509D" w:rsidRDefault="00F72737" w:rsidP="007A6884">
            <w:pPr>
              <w:pStyle w:val="zSoquijdatCabinetProcureurDem"/>
              <w:rPr>
                <w:smallCaps/>
              </w:rPr>
            </w:pPr>
            <w:r w:rsidRPr="008A509D">
              <w:rPr>
                <w:smallCaps/>
              </w:rPr>
              <w:t xml:space="preserve">Morency cabinet d’avocats </w:t>
            </w:r>
          </w:p>
        </w:tc>
      </w:tr>
      <w:tr w:rsidR="008A509D" w:rsidRPr="008A509D" w14:paraId="4169C37A" w14:textId="77777777" w:rsidTr="00BA153A">
        <w:trPr>
          <w:cantSplit/>
        </w:trPr>
        <w:tc>
          <w:tcPr>
            <w:tcW w:w="9505" w:type="dxa"/>
            <w:gridSpan w:val="3"/>
          </w:tcPr>
          <w:p w14:paraId="2A70B8AE" w14:textId="1D183142" w:rsidR="00121A72" w:rsidRPr="008A509D" w:rsidRDefault="0086649C" w:rsidP="007A6884">
            <w:pPr>
              <w:pStyle w:val="zSoquijlblProcureurDem"/>
            </w:pPr>
            <w:r w:rsidRPr="008A509D">
              <w:t>Avocat</w:t>
            </w:r>
            <w:r w:rsidR="00F72737" w:rsidRPr="008A509D">
              <w:t>es</w:t>
            </w:r>
            <w:r w:rsidRPr="008A509D">
              <w:t xml:space="preserve"> de la défenderesse</w:t>
            </w:r>
          </w:p>
        </w:tc>
      </w:tr>
      <w:tr w:rsidR="008A509D" w:rsidRPr="008A509D" w14:paraId="02472D62" w14:textId="77777777" w:rsidTr="00BA153A">
        <w:tc>
          <w:tcPr>
            <w:tcW w:w="9505" w:type="dxa"/>
            <w:gridSpan w:val="3"/>
          </w:tcPr>
          <w:p w14:paraId="117CF81D" w14:textId="77777777" w:rsidR="007A6884" w:rsidRPr="008A509D" w:rsidRDefault="007A6884" w:rsidP="00D26929"/>
        </w:tc>
      </w:tr>
      <w:tr w:rsidR="008A509D" w:rsidRPr="008A509D" w14:paraId="5293D2E2" w14:textId="77777777" w:rsidTr="00BA153A">
        <w:tc>
          <w:tcPr>
            <w:tcW w:w="9505" w:type="dxa"/>
            <w:gridSpan w:val="3"/>
          </w:tcPr>
          <w:p w14:paraId="5EEA0377" w14:textId="77777777" w:rsidR="00024BEC" w:rsidRPr="008A509D" w:rsidRDefault="00024BEC" w:rsidP="00D26929"/>
        </w:tc>
      </w:tr>
      <w:tr w:rsidR="00121A72" w:rsidRPr="008A509D" w14:paraId="329DBCA0" w14:textId="77777777" w:rsidTr="00BA153A">
        <w:tc>
          <w:tcPr>
            <w:tcW w:w="2197" w:type="dxa"/>
          </w:tcPr>
          <w:p w14:paraId="0C0DFC1A" w14:textId="77777777" w:rsidR="00121A72" w:rsidRPr="008A509D" w:rsidRDefault="00121A72" w:rsidP="00D26929">
            <w:pPr>
              <w:pStyle w:val="zSoquijlblDateAudience"/>
            </w:pPr>
            <w:r w:rsidRPr="008A509D">
              <w:t>Date d’audience :</w:t>
            </w:r>
          </w:p>
        </w:tc>
        <w:tc>
          <w:tcPr>
            <w:tcW w:w="7308" w:type="dxa"/>
            <w:gridSpan w:val="2"/>
          </w:tcPr>
          <w:p w14:paraId="0F8D1650" w14:textId="272D8D61" w:rsidR="00121A72" w:rsidRPr="008A509D" w:rsidRDefault="00D3089F" w:rsidP="00D3089F">
            <w:pPr>
              <w:pStyle w:val="zSoquijdatDateAudience"/>
            </w:pPr>
            <w:r w:rsidRPr="008A509D">
              <w:t>L</w:t>
            </w:r>
            <w:r w:rsidR="00AB1AAF" w:rsidRPr="008A509D">
              <w:t xml:space="preserve">e </w:t>
            </w:r>
            <w:r w:rsidR="00F72737" w:rsidRPr="008A509D">
              <w:t>15 juillet 2025</w:t>
            </w:r>
          </w:p>
        </w:tc>
      </w:tr>
    </w:tbl>
    <w:p w14:paraId="642A3CAB" w14:textId="77777777" w:rsidR="00121A72" w:rsidRPr="008A509D" w:rsidRDefault="00121A72" w:rsidP="00297355"/>
    <w:sectPr w:rsidR="00121A72" w:rsidRPr="008A509D" w:rsidSect="00297355">
      <w:headerReference w:type="default" r:id="rId15"/>
      <w:footerReference w:type="even" r:id="rId16"/>
      <w:footnotePr>
        <w:numRestart w:val="eachSect"/>
      </w:footnotePr>
      <w:pgSz w:w="12242" w:h="15842" w:code="1"/>
      <w:pgMar w:top="851" w:right="1043" w:bottom="1418" w:left="1872" w:header="865" w:footer="5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C034D" w14:textId="77777777" w:rsidR="00496125" w:rsidRDefault="00496125">
      <w:r>
        <w:separator/>
      </w:r>
    </w:p>
  </w:endnote>
  <w:endnote w:type="continuationSeparator" w:id="0">
    <w:p w14:paraId="6A1ADF45" w14:textId="77777777" w:rsidR="00496125" w:rsidRDefault="0049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EA6E" w14:textId="05D92618" w:rsidR="00121A72" w:rsidRDefault="00121A72">
    <w:pPr>
      <w:framePr w:wrap="around" w:vAnchor="text" w:hAnchor="margin" w:xAlign="right" w:y="1"/>
    </w:pPr>
    <w:r>
      <w:fldChar w:fldCharType="begin"/>
    </w:r>
    <w:r>
      <w:instrText xml:space="preserve">PAGE  </w:instrText>
    </w:r>
    <w:r>
      <w:fldChar w:fldCharType="separate"/>
    </w:r>
    <w:r w:rsidR="00F165DB">
      <w:rPr>
        <w:noProof/>
      </w:rPr>
      <w:t>2</w:t>
    </w:r>
    <w:r>
      <w:fldChar w:fldCharType="end"/>
    </w:r>
  </w:p>
  <w:p w14:paraId="37EB4A04" w14:textId="77777777" w:rsidR="00121A72" w:rsidRDefault="00121A7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AAEFE" w14:textId="77777777" w:rsidR="00496125" w:rsidRDefault="00496125">
      <w:r>
        <w:separator/>
      </w:r>
    </w:p>
  </w:footnote>
  <w:footnote w:type="continuationSeparator" w:id="0">
    <w:p w14:paraId="7E40095F" w14:textId="77777777" w:rsidR="00496125" w:rsidRDefault="00496125">
      <w:r>
        <w:continuationSeparator/>
      </w:r>
    </w:p>
  </w:footnote>
  <w:footnote w:id="1">
    <w:p w14:paraId="5BAE4A17" w14:textId="540FF44A" w:rsidR="00EE2C09" w:rsidRPr="007A1187" w:rsidRDefault="00EE2C09">
      <w:pPr>
        <w:pStyle w:val="Notedebasdepage"/>
      </w:pPr>
      <w:r>
        <w:rPr>
          <w:rStyle w:val="Appelnotedebasdep"/>
        </w:rPr>
        <w:footnoteRef/>
      </w:r>
      <w:r w:rsidRPr="009209D9">
        <w:rPr>
          <w:lang w:val="en-CA"/>
        </w:rPr>
        <w:t xml:space="preserve"> </w:t>
      </w:r>
      <w:r w:rsidRPr="009209D9">
        <w:rPr>
          <w:lang w:val="en-CA"/>
        </w:rPr>
        <w:tab/>
      </w:r>
      <w:r w:rsidR="009209D9" w:rsidRPr="009209D9">
        <w:rPr>
          <w:i/>
          <w:iCs/>
          <w:lang w:val="en-CA"/>
        </w:rPr>
        <w:t>Bill of Rights</w:t>
      </w:r>
      <w:r w:rsidR="009209D9" w:rsidRPr="009209D9">
        <w:rPr>
          <w:lang w:val="en-CA"/>
        </w:rPr>
        <w:t xml:space="preserve"> (Angl.), 1 Will. </w:t>
      </w:r>
      <w:r w:rsidR="009209D9" w:rsidRPr="007A1187">
        <w:t>&amp; Mar. sess. 2, c. 2, art. 9.</w:t>
      </w:r>
    </w:p>
  </w:footnote>
  <w:footnote w:id="2">
    <w:p w14:paraId="1821B4AF" w14:textId="48F8DD65" w:rsidR="00435A22" w:rsidRDefault="00435A22">
      <w:pPr>
        <w:pStyle w:val="Notedebasdepage"/>
      </w:pPr>
      <w:r>
        <w:rPr>
          <w:rStyle w:val="Appelnotedebasdep"/>
        </w:rPr>
        <w:footnoteRef/>
      </w:r>
      <w:r>
        <w:t xml:space="preserve"> </w:t>
      </w:r>
      <w:r>
        <w:tab/>
        <w:t xml:space="preserve">Comme </w:t>
      </w:r>
      <w:r w:rsidRPr="00435A22">
        <w:t>l’Australie ou la Nouvelle-Zélande</w:t>
      </w:r>
      <w:r>
        <w:t>.</w:t>
      </w:r>
    </w:p>
  </w:footnote>
  <w:footnote w:id="3">
    <w:p w14:paraId="1F8D0D48" w14:textId="5BEA6DA8" w:rsidR="001E7BB1" w:rsidRPr="004F0906" w:rsidRDefault="001E7BB1">
      <w:pPr>
        <w:pStyle w:val="Notedebasdepage"/>
        <w:rPr>
          <w:lang w:val="en-CA"/>
        </w:rPr>
      </w:pPr>
      <w:r>
        <w:rPr>
          <w:rStyle w:val="Appelnotedebasdep"/>
        </w:rPr>
        <w:footnoteRef/>
      </w:r>
      <w:r w:rsidRPr="004F0906">
        <w:rPr>
          <w:lang w:val="en-CA"/>
        </w:rPr>
        <w:t xml:space="preserve"> </w:t>
      </w:r>
      <w:r w:rsidRPr="004F0906">
        <w:rPr>
          <w:lang w:val="en-CA"/>
        </w:rPr>
        <w:tab/>
        <w:t>L.R.C. (1985), ch. P-1.</w:t>
      </w:r>
    </w:p>
  </w:footnote>
  <w:footnote w:id="4">
    <w:p w14:paraId="6F6348F1" w14:textId="4B0C3FFB" w:rsidR="00EE2C09" w:rsidRPr="004F0906" w:rsidRDefault="00EE2C09">
      <w:pPr>
        <w:pStyle w:val="Notedebasdepage"/>
        <w:rPr>
          <w:lang w:val="en-CA"/>
        </w:rPr>
      </w:pPr>
      <w:r>
        <w:rPr>
          <w:rStyle w:val="Appelnotedebasdep"/>
        </w:rPr>
        <w:footnoteRef/>
      </w:r>
      <w:r w:rsidRPr="004F0906">
        <w:rPr>
          <w:lang w:val="en-CA"/>
        </w:rPr>
        <w:t xml:space="preserve"> </w:t>
      </w:r>
      <w:r w:rsidRPr="004F0906">
        <w:rPr>
          <w:lang w:val="en-CA"/>
        </w:rPr>
        <w:tab/>
        <w:t>RLRQ, c. A-23.1</w:t>
      </w:r>
      <w:r w:rsidR="00BA0D24" w:rsidRPr="004F0906">
        <w:rPr>
          <w:lang w:val="en-CA"/>
        </w:rPr>
        <w:t>.</w:t>
      </w:r>
    </w:p>
  </w:footnote>
  <w:footnote w:id="5">
    <w:p w14:paraId="33B171AA" w14:textId="3E725FD4" w:rsidR="006A7FF3" w:rsidRPr="00924EDB" w:rsidRDefault="006A7FF3">
      <w:pPr>
        <w:pStyle w:val="Notedebasdepage"/>
        <w:rPr>
          <w:lang w:val="en-CA"/>
        </w:rPr>
      </w:pPr>
      <w:r>
        <w:rPr>
          <w:rStyle w:val="Appelnotedebasdep"/>
        </w:rPr>
        <w:footnoteRef/>
      </w:r>
      <w:r w:rsidRPr="007A1187">
        <w:t xml:space="preserve"> </w:t>
      </w:r>
      <w:r w:rsidRPr="007A1187">
        <w:tab/>
      </w:r>
      <w:r w:rsidRPr="007A1187">
        <w:rPr>
          <w:i/>
          <w:iCs/>
        </w:rPr>
        <w:t xml:space="preserve">New Brunswick Broadcasting Co. </w:t>
      </w:r>
      <w:r w:rsidRPr="007A1187">
        <w:t>c.</w:t>
      </w:r>
      <w:r w:rsidRPr="007A1187">
        <w:rPr>
          <w:i/>
          <w:iCs/>
        </w:rPr>
        <w:t xml:space="preserve"> Nouvelle</w:t>
      </w:r>
      <w:r w:rsidRPr="007A1187">
        <w:rPr>
          <w:rFonts w:ascii="Cambria Math" w:hAnsi="Cambria Math" w:cs="Cambria Math"/>
          <w:i/>
          <w:iCs/>
        </w:rPr>
        <w:t>‐</w:t>
      </w:r>
      <w:r w:rsidRPr="007A1187">
        <w:rPr>
          <w:rFonts w:cs="Arial"/>
          <w:i/>
          <w:iCs/>
        </w:rPr>
        <w:t>É</w:t>
      </w:r>
      <w:r w:rsidRPr="007A1187">
        <w:rPr>
          <w:i/>
          <w:iCs/>
        </w:rPr>
        <w:t>cosse (Pr</w:t>
      </w:r>
      <w:r w:rsidRPr="007A1187">
        <w:rPr>
          <w:rFonts w:cs="Arial"/>
          <w:i/>
          <w:iCs/>
        </w:rPr>
        <w:t>é</w:t>
      </w:r>
      <w:r w:rsidRPr="007A1187">
        <w:rPr>
          <w:i/>
          <w:iCs/>
        </w:rPr>
        <w:t>sident de l</w:t>
      </w:r>
      <w:r w:rsidRPr="007A1187">
        <w:rPr>
          <w:rFonts w:cs="Arial"/>
          <w:i/>
          <w:iCs/>
        </w:rPr>
        <w:t>’</w:t>
      </w:r>
      <w:r w:rsidRPr="007A1187">
        <w:rPr>
          <w:i/>
          <w:iCs/>
        </w:rPr>
        <w:t>Assembl</w:t>
      </w:r>
      <w:r w:rsidRPr="007A1187">
        <w:rPr>
          <w:rFonts w:cs="Arial"/>
          <w:i/>
          <w:iCs/>
        </w:rPr>
        <w:t>é</w:t>
      </w:r>
      <w:r w:rsidRPr="007A1187">
        <w:rPr>
          <w:i/>
          <w:iCs/>
        </w:rPr>
        <w:t>e l</w:t>
      </w:r>
      <w:r w:rsidRPr="007A1187">
        <w:rPr>
          <w:rFonts w:cs="Arial"/>
          <w:i/>
          <w:iCs/>
        </w:rPr>
        <w:t>é</w:t>
      </w:r>
      <w:r w:rsidRPr="007A1187">
        <w:rPr>
          <w:i/>
          <w:iCs/>
        </w:rPr>
        <w:t>gislative)</w:t>
      </w:r>
      <w:r w:rsidRPr="007A1187">
        <w:t>, [1993] 1 R.C.S. 319.</w:t>
      </w:r>
      <w:r w:rsidR="00924EDB" w:rsidRPr="007A1187">
        <w:t xml:space="preserve"> </w:t>
      </w:r>
      <w:r w:rsidR="00924EDB" w:rsidRPr="00924EDB">
        <w:rPr>
          <w:lang w:val="en-CA"/>
        </w:rPr>
        <w:t>Voir aussi</w:t>
      </w:r>
      <w:r w:rsidRPr="00924EDB">
        <w:rPr>
          <w:lang w:val="en-CA"/>
        </w:rPr>
        <w:t xml:space="preserve"> </w:t>
      </w:r>
      <w:r w:rsidR="00924EDB" w:rsidRPr="00924EDB">
        <w:rPr>
          <w:i/>
          <w:iCs/>
          <w:lang w:val="en-CA"/>
        </w:rPr>
        <w:t>Singh</w:t>
      </w:r>
      <w:r w:rsidR="00924EDB" w:rsidRPr="00924EDB">
        <w:rPr>
          <w:lang w:val="en-CA"/>
        </w:rPr>
        <w:t xml:space="preserve"> c. </w:t>
      </w:r>
      <w:r w:rsidR="00924EDB" w:rsidRPr="00924EDB">
        <w:rPr>
          <w:i/>
          <w:iCs/>
          <w:lang w:val="en-CA"/>
        </w:rPr>
        <w:t>Attorney General of Quebec</w:t>
      </w:r>
      <w:r w:rsidR="00924EDB" w:rsidRPr="00924EDB">
        <w:rPr>
          <w:lang w:val="en-CA"/>
        </w:rPr>
        <w:t>, 2018 QCCA 257</w:t>
      </w:r>
      <w:r w:rsidR="00924EDB">
        <w:rPr>
          <w:lang w:val="en-CA"/>
        </w:rPr>
        <w:t>.</w:t>
      </w:r>
    </w:p>
  </w:footnote>
  <w:footnote w:id="6">
    <w:p w14:paraId="6FCEA75E" w14:textId="2BDC00FF" w:rsidR="00CE7CA3" w:rsidRPr="00924EDB" w:rsidRDefault="00CE7CA3">
      <w:pPr>
        <w:pStyle w:val="Notedebasdepage"/>
        <w:rPr>
          <w:lang w:val="en-CA"/>
        </w:rPr>
      </w:pPr>
      <w:r>
        <w:rPr>
          <w:rStyle w:val="Appelnotedebasdep"/>
        </w:rPr>
        <w:footnoteRef/>
      </w:r>
      <w:r w:rsidRPr="00924EDB">
        <w:rPr>
          <w:lang w:val="en-CA"/>
        </w:rPr>
        <w:t xml:space="preserve"> </w:t>
      </w:r>
      <w:r w:rsidRPr="00924EDB">
        <w:rPr>
          <w:lang w:val="en-CA"/>
        </w:rPr>
        <w:tab/>
      </w:r>
      <w:r w:rsidRPr="00924EDB">
        <w:rPr>
          <w:i/>
          <w:iCs/>
          <w:lang w:val="en-CA"/>
        </w:rPr>
        <w:t>Idem</w:t>
      </w:r>
      <w:r w:rsidRPr="00924EDB">
        <w:rPr>
          <w:lang w:val="en-CA"/>
        </w:rPr>
        <w:t>, p.389.</w:t>
      </w:r>
    </w:p>
  </w:footnote>
  <w:footnote w:id="7">
    <w:p w14:paraId="07A7030C" w14:textId="052F9450" w:rsidR="0091495F" w:rsidRDefault="0091495F">
      <w:pPr>
        <w:pStyle w:val="Notedebasdepage"/>
      </w:pPr>
      <w:r>
        <w:rPr>
          <w:rStyle w:val="Appelnotedebasdep"/>
        </w:rPr>
        <w:footnoteRef/>
      </w:r>
      <w:r>
        <w:t xml:space="preserve"> </w:t>
      </w:r>
      <w:r>
        <w:tab/>
      </w:r>
      <w:r w:rsidRPr="006E2409">
        <w:rPr>
          <w:i/>
          <w:iCs/>
        </w:rPr>
        <w:t xml:space="preserve">Canada (Chambre des communes) </w:t>
      </w:r>
      <w:r w:rsidRPr="00070E75">
        <w:t>c</w:t>
      </w:r>
      <w:r w:rsidRPr="006E2409">
        <w:rPr>
          <w:i/>
          <w:iCs/>
        </w:rPr>
        <w:t>. Vaid</w:t>
      </w:r>
      <w:r w:rsidRPr="00C26489">
        <w:t>, 2005 CSC 30</w:t>
      </w:r>
      <w:r>
        <w:t>.</w:t>
      </w:r>
    </w:p>
  </w:footnote>
  <w:footnote w:id="8">
    <w:p w14:paraId="354149EF" w14:textId="77777777" w:rsidR="006E2409" w:rsidRDefault="006E2409" w:rsidP="006E2409">
      <w:pPr>
        <w:pStyle w:val="Notedebasdepage"/>
      </w:pPr>
      <w:r>
        <w:rPr>
          <w:rStyle w:val="Appelnotedebasdep"/>
        </w:rPr>
        <w:footnoteRef/>
      </w:r>
      <w:r>
        <w:t xml:space="preserve"> </w:t>
      </w:r>
      <w:r>
        <w:tab/>
      </w:r>
      <w:r w:rsidRPr="005A35E7">
        <w:rPr>
          <w:i/>
          <w:iCs/>
        </w:rPr>
        <w:t xml:space="preserve">Chagnon </w:t>
      </w:r>
      <w:r w:rsidRPr="00070E75">
        <w:t>c.</w:t>
      </w:r>
      <w:r w:rsidRPr="005A35E7">
        <w:rPr>
          <w:i/>
          <w:iCs/>
        </w:rPr>
        <w:t xml:space="preserve"> Syndicat de la fonction publique et parapublique du Québec</w:t>
      </w:r>
      <w:r w:rsidRPr="00A94E31">
        <w:t>, 2018 CSC 39</w:t>
      </w:r>
      <w:r>
        <w:t>.</w:t>
      </w:r>
    </w:p>
  </w:footnote>
  <w:footnote w:id="9">
    <w:p w14:paraId="60FB460F" w14:textId="3D2E060F" w:rsidR="006E2409" w:rsidRDefault="006E2409" w:rsidP="006E2409">
      <w:pPr>
        <w:pStyle w:val="Notedebasdepage"/>
      </w:pPr>
      <w:r>
        <w:rPr>
          <w:rStyle w:val="Appelnotedebasdep"/>
        </w:rPr>
        <w:footnoteRef/>
      </w:r>
      <w:r>
        <w:t xml:space="preserve"> </w:t>
      </w:r>
      <w:r>
        <w:tab/>
      </w:r>
      <w:r w:rsidRPr="006E2409">
        <w:rPr>
          <w:i/>
          <w:iCs/>
        </w:rPr>
        <w:t>Idem</w:t>
      </w:r>
      <w:r>
        <w:t xml:space="preserve">., par. 56; </w:t>
      </w:r>
      <w:r w:rsidRPr="0065518A">
        <w:rPr>
          <w:i/>
          <w:iCs/>
        </w:rPr>
        <w:t>Vaid</w:t>
      </w:r>
      <w:r w:rsidRPr="0065518A">
        <w:t xml:space="preserve">, </w:t>
      </w:r>
      <w:r w:rsidR="00843895">
        <w:t xml:space="preserve">préc., note 7, </w:t>
      </w:r>
      <w:r w:rsidRPr="0065518A">
        <w:t>par. 29(5)</w:t>
      </w:r>
      <w:r>
        <w:t>.</w:t>
      </w:r>
    </w:p>
  </w:footnote>
  <w:footnote w:id="10">
    <w:p w14:paraId="3300CC44" w14:textId="648971F3" w:rsidR="006E2409" w:rsidRPr="006E2409" w:rsidRDefault="006E2409">
      <w:pPr>
        <w:pStyle w:val="Notedebasdepage"/>
      </w:pPr>
      <w:r>
        <w:rPr>
          <w:rStyle w:val="Appelnotedebasdep"/>
        </w:rPr>
        <w:footnoteRef/>
      </w:r>
      <w:r w:rsidRPr="006E2409">
        <w:t xml:space="preserve"> </w:t>
      </w:r>
      <w:r w:rsidRPr="006E2409">
        <w:tab/>
      </w:r>
      <w:r w:rsidR="00413982">
        <w:t xml:space="preserve">Voir </w:t>
      </w:r>
      <w:r w:rsidRPr="006E2409">
        <w:t>Huppé, Luc</w:t>
      </w:r>
      <w:r>
        <w:t>,</w:t>
      </w:r>
      <w:r w:rsidRPr="006E2409">
        <w:t xml:space="preserve"> </w:t>
      </w:r>
      <w:r w:rsidR="0091495F">
        <w:t>« </w:t>
      </w:r>
      <w:r w:rsidRPr="0091495F">
        <w:rPr>
          <w:i/>
          <w:iCs/>
        </w:rPr>
        <w:t>Une immunité de poursuite civile pour les ministres</w:t>
      </w:r>
      <w:r w:rsidR="0091495F">
        <w:rPr>
          <w:i/>
          <w:iCs/>
        </w:rPr>
        <w:t> »</w:t>
      </w:r>
      <w:r w:rsidR="0091495F">
        <w:t>,</w:t>
      </w:r>
      <w:r w:rsidRPr="006E2409">
        <w:t xml:space="preserve"> (1998)</w:t>
      </w:r>
      <w:r w:rsidR="0091495F">
        <w:t xml:space="preserve"> 32 R.J.T. 333</w:t>
      </w:r>
      <w:r w:rsidRPr="006E2409">
        <w:t>, pp 337-338</w:t>
      </w:r>
      <w:r w:rsidR="0091495F">
        <w:t>.</w:t>
      </w:r>
    </w:p>
  </w:footnote>
  <w:footnote w:id="11">
    <w:p w14:paraId="185C8353" w14:textId="034092F7" w:rsidR="00FC21F9" w:rsidRPr="005D62FF" w:rsidRDefault="00FC21F9">
      <w:pPr>
        <w:pStyle w:val="Notedebasdepage"/>
      </w:pPr>
      <w:r>
        <w:rPr>
          <w:rStyle w:val="Appelnotedebasdep"/>
        </w:rPr>
        <w:footnoteRef/>
      </w:r>
      <w:r w:rsidRPr="005D62FF">
        <w:t xml:space="preserve"> </w:t>
      </w:r>
      <w:r w:rsidRPr="005D62FF">
        <w:tab/>
      </w:r>
      <w:r w:rsidRPr="005D62FF">
        <w:rPr>
          <w:i/>
          <w:iCs/>
        </w:rPr>
        <w:t>Chagnon</w:t>
      </w:r>
      <w:r w:rsidRPr="005D62FF">
        <w:t xml:space="preserve">, </w:t>
      </w:r>
      <w:r w:rsidR="002C6507">
        <w:t xml:space="preserve">préc., note 8, </w:t>
      </w:r>
      <w:r w:rsidRPr="005D62FF">
        <w:t>par. 25-26.</w:t>
      </w:r>
    </w:p>
  </w:footnote>
  <w:footnote w:id="12">
    <w:p w14:paraId="082EECD6" w14:textId="0E1782C9" w:rsidR="00E467E1" w:rsidRPr="005D62FF" w:rsidRDefault="00E467E1">
      <w:pPr>
        <w:pStyle w:val="Notedebasdepage"/>
      </w:pPr>
      <w:r>
        <w:rPr>
          <w:rStyle w:val="Appelnotedebasdep"/>
        </w:rPr>
        <w:footnoteRef/>
      </w:r>
      <w:r w:rsidRPr="005D62FF">
        <w:t xml:space="preserve"> </w:t>
      </w:r>
      <w:r w:rsidRPr="005D62FF">
        <w:tab/>
        <w:t xml:space="preserve">Voir </w:t>
      </w:r>
      <w:r w:rsidR="005D62FF">
        <w:rPr>
          <w:i/>
          <w:iCs/>
        </w:rPr>
        <w:t>s</w:t>
      </w:r>
      <w:r w:rsidRPr="005D62FF">
        <w:rPr>
          <w:i/>
          <w:iCs/>
        </w:rPr>
        <w:t>upra</w:t>
      </w:r>
      <w:r w:rsidRPr="005D62FF">
        <w:t xml:space="preserve">, par. </w:t>
      </w:r>
      <w:r w:rsidR="007E66D8">
        <w:t>9</w:t>
      </w:r>
      <w:r w:rsidRPr="005D62FF">
        <w:t>.</w:t>
      </w:r>
    </w:p>
  </w:footnote>
  <w:footnote w:id="13">
    <w:p w14:paraId="62B6DA9C" w14:textId="5005CCD2" w:rsidR="0051098D" w:rsidRPr="0051098D" w:rsidRDefault="0051098D">
      <w:pPr>
        <w:pStyle w:val="Notedebasdepage"/>
      </w:pPr>
      <w:r>
        <w:rPr>
          <w:rStyle w:val="Appelnotedebasdep"/>
        </w:rPr>
        <w:footnoteRef/>
      </w:r>
      <w:r w:rsidRPr="0051098D">
        <w:t xml:space="preserve"> </w:t>
      </w:r>
      <w:r w:rsidRPr="0051098D">
        <w:tab/>
      </w:r>
      <w:r>
        <w:t>« </w:t>
      </w:r>
      <w:r w:rsidRPr="0051098D">
        <w:t>[50]</w:t>
      </w:r>
      <w:r>
        <w:t xml:space="preserve"> </w:t>
      </w:r>
      <w:r w:rsidRPr="0051098D">
        <w:t xml:space="preserve">Le Bureau de l’Assemblée nationale, composé du président, de cinq députés du parti gouvernemental et de quatre députés de l’opposition, ne s’est pas prévalu du droit que lui confère l’art. 110 de la LAN de soustraire la gestion des employés de l’Assemblée, y compris les gardiens de sécurité, à l’application du droit commun (voir également la LAN, art. 87 et 88). Il aurait pu le faire s’il avait été d’avis que l’Assemblée, pour être en mesure de s’acquitter de ses fonctions constitutionnelles, devait avoir le contrôle exclusif à l’égard de la gestion des gardiens. Par conséquent, comme il ressort de la LAN, </w:t>
      </w:r>
      <w:r w:rsidRPr="003E493A">
        <w:rPr>
          <w:u w:val="single"/>
        </w:rPr>
        <w:t>l’Assemblée ne semble pas percevoir le contrôle exclusif de la gestion des gardiens de sécurité comme étant nécessaire à son autonomie</w:t>
      </w:r>
      <w:r w:rsidRPr="0051098D">
        <w:t>.</w:t>
      </w:r>
      <w:r>
        <w:t> »</w:t>
      </w:r>
      <w:r w:rsidR="003E493A">
        <w:t xml:space="preserve"> (Je souligne)</w:t>
      </w:r>
    </w:p>
  </w:footnote>
  <w:footnote w:id="14">
    <w:p w14:paraId="7E0D36CF" w14:textId="212A7CAD" w:rsidR="00220868" w:rsidRPr="00000853" w:rsidRDefault="00220868">
      <w:pPr>
        <w:pStyle w:val="Notedebasdepage"/>
      </w:pPr>
      <w:r>
        <w:rPr>
          <w:rStyle w:val="Appelnotedebasdep"/>
        </w:rPr>
        <w:footnoteRef/>
      </w:r>
      <w:r w:rsidRPr="00000853">
        <w:t xml:space="preserve"> </w:t>
      </w:r>
      <w:r w:rsidRPr="00000853">
        <w:tab/>
      </w:r>
      <w:r w:rsidRPr="00000853">
        <w:rPr>
          <w:i/>
          <w:iCs/>
        </w:rPr>
        <w:t>Chagnon</w:t>
      </w:r>
      <w:r w:rsidRPr="00000853">
        <w:t xml:space="preserve">, </w:t>
      </w:r>
      <w:r w:rsidR="002C6507">
        <w:t xml:space="preserve">préc., note 8, </w:t>
      </w:r>
      <w:r w:rsidRPr="00000853">
        <w:t>par. 43</w:t>
      </w:r>
      <w:r w:rsidR="002C6507">
        <w:t>;</w:t>
      </w:r>
      <w:r w:rsidRPr="00000853">
        <w:t xml:space="preserve"> </w:t>
      </w:r>
      <w:r w:rsidRPr="00000853">
        <w:rPr>
          <w:i/>
          <w:iCs/>
        </w:rPr>
        <w:t>Vaid</w:t>
      </w:r>
      <w:r w:rsidRPr="00000853">
        <w:t xml:space="preserve">, </w:t>
      </w:r>
      <w:r w:rsidR="00843895">
        <w:t xml:space="preserve">préc., note 7, </w:t>
      </w:r>
      <w:r w:rsidRPr="00000853">
        <w:t>par. 46.</w:t>
      </w:r>
    </w:p>
  </w:footnote>
  <w:footnote w:id="15">
    <w:p w14:paraId="03FAC031" w14:textId="5A586133" w:rsidR="00342D14" w:rsidRPr="00CA1CC2" w:rsidRDefault="00342D14">
      <w:pPr>
        <w:pStyle w:val="Notedebasdepage"/>
        <w:rPr>
          <w:lang w:val="en-CA"/>
        </w:rPr>
      </w:pPr>
      <w:r>
        <w:rPr>
          <w:rStyle w:val="Appelnotedebasdep"/>
        </w:rPr>
        <w:footnoteRef/>
      </w:r>
      <w:r w:rsidRPr="009561DA">
        <w:rPr>
          <w:lang w:val="en-CA"/>
        </w:rPr>
        <w:t xml:space="preserve"> </w:t>
      </w:r>
      <w:r w:rsidRPr="009561DA">
        <w:rPr>
          <w:lang w:val="en-CA"/>
        </w:rPr>
        <w:tab/>
      </w:r>
      <w:r w:rsidRPr="009561DA">
        <w:rPr>
          <w:i/>
          <w:iCs/>
          <w:lang w:val="en-CA"/>
        </w:rPr>
        <w:t>Marin v. Office of the Ombudsman</w:t>
      </w:r>
      <w:r w:rsidRPr="009561DA">
        <w:rPr>
          <w:lang w:val="en-CA"/>
        </w:rPr>
        <w:t>, 2017 ONSC 1687.</w:t>
      </w:r>
      <w:r w:rsidR="00897E01" w:rsidRPr="009561DA">
        <w:rPr>
          <w:lang w:val="en-CA"/>
        </w:rPr>
        <w:t xml:space="preserve"> </w:t>
      </w:r>
    </w:p>
  </w:footnote>
  <w:footnote w:id="16">
    <w:p w14:paraId="04D8A046" w14:textId="22C3E1D8" w:rsidR="00807CBF" w:rsidRDefault="00807CBF">
      <w:pPr>
        <w:pStyle w:val="Notedebasdepage"/>
      </w:pPr>
      <w:r>
        <w:rPr>
          <w:rStyle w:val="Appelnotedebasdep"/>
        </w:rPr>
        <w:footnoteRef/>
      </w:r>
      <w:r>
        <w:t xml:space="preserve"> </w:t>
      </w:r>
      <w:r>
        <w:tab/>
        <w:t>Article 2091 C.c.Q.</w:t>
      </w:r>
    </w:p>
  </w:footnote>
  <w:footnote w:id="17">
    <w:p w14:paraId="520A0F98" w14:textId="0F67E992" w:rsidR="00D021B1" w:rsidRDefault="00D021B1" w:rsidP="00D021B1">
      <w:pPr>
        <w:pStyle w:val="Notedebasdepage"/>
      </w:pPr>
      <w:r>
        <w:rPr>
          <w:rStyle w:val="Appelnotedebasdep"/>
        </w:rPr>
        <w:footnoteRef/>
      </w:r>
      <w:r>
        <w:t xml:space="preserve"> </w:t>
      </w:r>
      <w:r>
        <w:tab/>
      </w:r>
      <w:r w:rsidRPr="00897E01">
        <w:rPr>
          <w:i/>
          <w:iCs/>
        </w:rPr>
        <w:t>C</w:t>
      </w:r>
      <w:r w:rsidR="00897E01" w:rsidRPr="00897E01">
        <w:rPr>
          <w:i/>
          <w:iCs/>
        </w:rPr>
        <w:t>h</w:t>
      </w:r>
      <w:r w:rsidRPr="00897E01">
        <w:rPr>
          <w:i/>
          <w:iCs/>
        </w:rPr>
        <w:t>agnon</w:t>
      </w:r>
      <w:r>
        <w:t xml:space="preserve">, </w:t>
      </w:r>
      <w:r w:rsidR="00843895">
        <w:t xml:space="preserve">préc., note 8, </w:t>
      </w:r>
      <w:r>
        <w:t>par</w:t>
      </w:r>
      <w:r w:rsidR="00605511">
        <w:t>.</w:t>
      </w:r>
      <w:r>
        <w:t xml:space="preserve"> 18 à 35.</w:t>
      </w:r>
    </w:p>
  </w:footnote>
  <w:footnote w:id="18">
    <w:p w14:paraId="6CA54656" w14:textId="038851CF" w:rsidR="00D021B1" w:rsidRDefault="00D021B1" w:rsidP="00D021B1">
      <w:pPr>
        <w:pStyle w:val="Notedebasdepage"/>
      </w:pPr>
      <w:r>
        <w:rPr>
          <w:rStyle w:val="Appelnotedebasdep"/>
        </w:rPr>
        <w:footnoteRef/>
      </w:r>
      <w:r>
        <w:t xml:space="preserve"> </w:t>
      </w:r>
      <w:r>
        <w:tab/>
      </w:r>
      <w:r w:rsidR="00897E01" w:rsidRPr="00897E01">
        <w:rPr>
          <w:i/>
          <w:iCs/>
        </w:rPr>
        <w:t>Idem</w:t>
      </w:r>
      <w:r w:rsidR="00897E01">
        <w:t>.,</w:t>
      </w:r>
      <w:r>
        <w:t xml:space="preserve"> par. 37 et 45.</w:t>
      </w:r>
    </w:p>
  </w:footnote>
  <w:footnote w:id="19">
    <w:p w14:paraId="5C80F112" w14:textId="7E7D6276" w:rsidR="008C3515" w:rsidRPr="007C6155" w:rsidRDefault="008C3515" w:rsidP="008C3515">
      <w:pPr>
        <w:pStyle w:val="Notedebasdepage"/>
      </w:pPr>
      <w:r>
        <w:rPr>
          <w:rStyle w:val="Appelnotedebasdep"/>
        </w:rPr>
        <w:footnoteRef/>
      </w:r>
      <w:r w:rsidRPr="00257FC6">
        <w:t xml:space="preserve"> </w:t>
      </w:r>
      <w:r w:rsidRPr="00257FC6">
        <w:tab/>
      </w:r>
      <w:r>
        <w:t xml:space="preserve">Ce sont aussi les motifs de la </w:t>
      </w:r>
      <w:r w:rsidRPr="00257FC6">
        <w:t>Cour d’appel de l’Onta</w:t>
      </w:r>
      <w:r>
        <w:t>r</w:t>
      </w:r>
      <w:r w:rsidRPr="00257FC6">
        <w:t xml:space="preserve">io dans </w:t>
      </w:r>
      <w:r w:rsidRPr="00257FC6">
        <w:rPr>
          <w:i/>
          <w:iCs/>
        </w:rPr>
        <w:t>Guergis</w:t>
      </w:r>
      <w:r w:rsidRPr="00257FC6">
        <w:t xml:space="preserve"> v. </w:t>
      </w:r>
      <w:r w:rsidRPr="00257FC6">
        <w:rPr>
          <w:i/>
          <w:iCs/>
        </w:rPr>
        <w:t>Novak et al.</w:t>
      </w:r>
      <w:r w:rsidRPr="00257FC6">
        <w:t>, 2013 ONCA 449</w:t>
      </w:r>
      <w:r>
        <w:t xml:space="preserve">, </w:t>
      </w:r>
      <w:r w:rsidR="00E51922">
        <w:t xml:space="preserve">prononcés quelques années plus tôt, </w:t>
      </w:r>
      <w:r>
        <w:t xml:space="preserve">que je ne peux retenir vu l’arrêt </w:t>
      </w:r>
      <w:r w:rsidRPr="005B5D01">
        <w:rPr>
          <w:i/>
          <w:iCs/>
        </w:rPr>
        <w:t>Chagnon</w:t>
      </w:r>
      <w:r>
        <w:t xml:space="preserve"> </w:t>
      </w:r>
      <w:r w:rsidRPr="007C6155">
        <w:t xml:space="preserve">: </w:t>
      </w:r>
    </w:p>
    <w:p w14:paraId="59AD1721" w14:textId="77777777" w:rsidR="008C3515" w:rsidRPr="007C6155" w:rsidRDefault="008C3515" w:rsidP="008C3515">
      <w:pPr>
        <w:pStyle w:val="Notedebasdepage"/>
        <w:ind w:firstLine="0"/>
        <w:rPr>
          <w:lang w:val="en-CA"/>
        </w:rPr>
      </w:pPr>
      <w:r w:rsidRPr="00257FC6">
        <w:rPr>
          <w:lang w:val="en-CA"/>
        </w:rPr>
        <w:t>[85] Third, in seeking to pursue tort claims, such as negligence, based on the manner of her removal from Cabinet and caucus, while acknowledging that the prime minister's decision to remove her is not justiciable because it is protected by the exercise of Crown privilege and parliamentary prerogative, the appellant is attempting a distinction without a difference.</w:t>
      </w:r>
    </w:p>
    <w:p w14:paraId="605D33CA" w14:textId="77777777" w:rsidR="008C3515" w:rsidRPr="00257FC6" w:rsidRDefault="008C3515" w:rsidP="008C3515">
      <w:pPr>
        <w:pStyle w:val="Notedebasdepage"/>
        <w:ind w:firstLine="0"/>
        <w:rPr>
          <w:lang w:val="en-CA"/>
        </w:rPr>
      </w:pPr>
      <w:r w:rsidRPr="00257FC6">
        <w:rPr>
          <w:lang w:val="en-CA"/>
        </w:rPr>
        <w:t>[86] The prime minister's exercise of the Crown prerogative and parliamentary privilege extends not only to the fact of removal from office but also to how it was exercised.</w:t>
      </w:r>
    </w:p>
  </w:footnote>
  <w:footnote w:id="20">
    <w:p w14:paraId="0E25EFCE" w14:textId="14E6FDE1" w:rsidR="00ED7665" w:rsidRDefault="00ED7665">
      <w:pPr>
        <w:pStyle w:val="Notedebasdepage"/>
      </w:pPr>
      <w:r>
        <w:rPr>
          <w:rStyle w:val="Appelnotedebasdep"/>
        </w:rPr>
        <w:footnoteRef/>
      </w:r>
      <w:r>
        <w:t xml:space="preserve"> </w:t>
      </w:r>
      <w:r>
        <w:tab/>
      </w:r>
      <w:r w:rsidRPr="00ED7665">
        <w:rPr>
          <w:i/>
          <w:iCs/>
        </w:rPr>
        <w:t>R. c. Graham</w:t>
      </w:r>
      <w:r w:rsidRPr="00ED7665">
        <w:rPr>
          <w:rFonts w:ascii="Cambria Math" w:hAnsi="Cambria Math" w:cs="Cambria Math"/>
          <w:i/>
          <w:iCs/>
        </w:rPr>
        <w:t>‐</w:t>
      </w:r>
      <w:r w:rsidRPr="00ED7665">
        <w:rPr>
          <w:i/>
          <w:iCs/>
        </w:rPr>
        <w:t>Campbell; Ex parte Herbert</w:t>
      </w:r>
      <w:r w:rsidRPr="00ED7665">
        <w:t>, [1935] 1 K.B. 594</w:t>
      </w:r>
      <w:r>
        <w:t>.</w:t>
      </w:r>
    </w:p>
  </w:footnote>
  <w:footnote w:id="21">
    <w:p w14:paraId="5D2CC299" w14:textId="0931547C" w:rsidR="00ED7665" w:rsidRDefault="00ED7665">
      <w:pPr>
        <w:pStyle w:val="Notedebasdepage"/>
      </w:pPr>
      <w:r>
        <w:rPr>
          <w:rStyle w:val="Appelnotedebasdep"/>
        </w:rPr>
        <w:footnoteRef/>
      </w:r>
      <w:r>
        <w:t xml:space="preserve"> </w:t>
      </w:r>
      <w:r>
        <w:tab/>
      </w:r>
      <w:r w:rsidR="00401806" w:rsidRPr="004B772E">
        <w:t xml:space="preserve">Maingot, Joseph J.P., </w:t>
      </w:r>
      <w:r w:rsidR="00401806" w:rsidRPr="004B772E">
        <w:rPr>
          <w:i/>
        </w:rPr>
        <w:t>Le privilège parlementaire au Canada</w:t>
      </w:r>
      <w:r w:rsidR="00401806" w:rsidRPr="004B772E">
        <w:t>, 2</w:t>
      </w:r>
      <w:r w:rsidR="00401806" w:rsidRPr="004B772E">
        <w:rPr>
          <w:vertAlign w:val="superscript"/>
        </w:rPr>
        <w:t>e</w:t>
      </w:r>
      <w:r w:rsidR="00401806" w:rsidRPr="004B772E">
        <w:t xml:space="preserve"> éd., Montréal, Presses universitaires McGill-Queen's, 1997</w:t>
      </w:r>
      <w:r w:rsidRPr="00401806">
        <w:t>.</w:t>
      </w:r>
    </w:p>
  </w:footnote>
  <w:footnote w:id="22">
    <w:p w14:paraId="1CA15FFE" w14:textId="14C12EAB" w:rsidR="00ED7665" w:rsidRDefault="00ED7665">
      <w:pPr>
        <w:pStyle w:val="Notedebasdepage"/>
      </w:pPr>
      <w:r>
        <w:rPr>
          <w:rStyle w:val="Appelnotedebasdep"/>
        </w:rPr>
        <w:footnoteRef/>
      </w:r>
      <w:r>
        <w:t xml:space="preserve"> </w:t>
      </w:r>
      <w:r>
        <w:tab/>
      </w:r>
      <w:r w:rsidRPr="00ED7665">
        <w:rPr>
          <w:i/>
          <w:iCs/>
        </w:rPr>
        <w:t>Vaid,</w:t>
      </w:r>
      <w:r>
        <w:t xml:space="preserve"> </w:t>
      </w:r>
      <w:r w:rsidR="00843895">
        <w:t xml:space="preserve">préc., note 7, </w:t>
      </w:r>
      <w:r>
        <w:t>par. 66. D’ailleurs, dans la dernière édition de son ouvrage, datant de 2016, Maingot ne l’avance plus.</w:t>
      </w:r>
    </w:p>
  </w:footnote>
  <w:footnote w:id="23">
    <w:p w14:paraId="64642881" w14:textId="77777777" w:rsidR="00605511" w:rsidRDefault="00605511" w:rsidP="00605511">
      <w:pPr>
        <w:pStyle w:val="Notedebasdepage"/>
      </w:pPr>
      <w:r>
        <w:rPr>
          <w:rStyle w:val="Appelnotedebasdep"/>
        </w:rPr>
        <w:footnoteRef/>
      </w:r>
      <w:r>
        <w:t xml:space="preserve"> </w:t>
      </w:r>
      <w:r>
        <w:tab/>
        <w:t xml:space="preserve">Voir pour une application récente </w:t>
      </w:r>
      <w:r>
        <w:rPr>
          <w:i/>
          <w:iCs/>
        </w:rPr>
        <w:t xml:space="preserve">Pharmascience inc. </w:t>
      </w:r>
      <w:r w:rsidRPr="00605511">
        <w:t>c.</w:t>
      </w:r>
      <w:r>
        <w:rPr>
          <w:i/>
          <w:iCs/>
        </w:rPr>
        <w:t xml:space="preserve"> J</w:t>
      </w:r>
      <w:r w:rsidRPr="000A653F">
        <w:rPr>
          <w:i/>
          <w:iCs/>
        </w:rPr>
        <w:t>anssen</w:t>
      </w:r>
      <w:r>
        <w:rPr>
          <w:i/>
          <w:iCs/>
        </w:rPr>
        <w:t xml:space="preserve"> inc.</w:t>
      </w:r>
      <w:r>
        <w:t>, 2026 CSC 26.</w:t>
      </w:r>
    </w:p>
  </w:footnote>
  <w:footnote w:id="24">
    <w:p w14:paraId="50129DB7" w14:textId="076448E5" w:rsidR="00D021B1" w:rsidRDefault="00D021B1">
      <w:pPr>
        <w:pStyle w:val="Notedebasdepage"/>
      </w:pPr>
      <w:r>
        <w:rPr>
          <w:rStyle w:val="Appelnotedebasdep"/>
        </w:rPr>
        <w:footnoteRef/>
      </w:r>
      <w:r>
        <w:t xml:space="preserve"> </w:t>
      </w:r>
      <w:r>
        <w:tab/>
      </w:r>
      <w:r w:rsidRPr="00A90485">
        <w:rPr>
          <w:i/>
          <w:iCs/>
        </w:rPr>
        <w:t>Chagnon</w:t>
      </w:r>
      <w:r w:rsidR="00897E01" w:rsidRPr="00897E01">
        <w:t>,</w:t>
      </w:r>
      <w:r w:rsidRPr="00897E01">
        <w:t xml:space="preserve"> </w:t>
      </w:r>
      <w:r w:rsidR="002C6507">
        <w:t xml:space="preserve">préc., note 8, </w:t>
      </w:r>
      <w:r>
        <w:t>par.</w:t>
      </w:r>
      <w:r w:rsidR="0032564F">
        <w:t xml:space="preserve"> </w:t>
      </w:r>
      <w:r>
        <w:t>32.</w:t>
      </w:r>
      <w:r w:rsidR="00637C78">
        <w:t xml:space="preserve"> Voir aussi </w:t>
      </w:r>
      <w:r w:rsidR="00637C78" w:rsidRPr="00A90485">
        <w:rPr>
          <w:i/>
          <w:iCs/>
        </w:rPr>
        <w:t>Michau</w:t>
      </w:r>
      <w:r w:rsidR="00637C78">
        <w:rPr>
          <w:i/>
          <w:iCs/>
        </w:rPr>
        <w:t xml:space="preserve">d </w:t>
      </w:r>
      <w:r w:rsidR="00637C78" w:rsidRPr="00637C78">
        <w:t>c.</w:t>
      </w:r>
      <w:r w:rsidR="00637C78">
        <w:rPr>
          <w:i/>
          <w:iCs/>
        </w:rPr>
        <w:t xml:space="preserve"> Bissonnette, </w:t>
      </w:r>
      <w:r w:rsidR="00637C78" w:rsidRPr="00637C78">
        <w:t>2006 QCCA 775</w:t>
      </w:r>
      <w:r w:rsidR="00637C78">
        <w:t>,</w:t>
      </w:r>
      <w:r w:rsidR="00637C78" w:rsidRPr="00637C78">
        <w:t xml:space="preserve"> </w:t>
      </w:r>
      <w:r w:rsidR="00637C78">
        <w:t>par. 50.</w:t>
      </w:r>
    </w:p>
  </w:footnote>
  <w:footnote w:id="25">
    <w:p w14:paraId="7BCA49C2" w14:textId="49087983" w:rsidR="00BA0D24" w:rsidRDefault="00BA0D24" w:rsidP="00BA0D24">
      <w:pPr>
        <w:pStyle w:val="Notedebasdepage"/>
      </w:pPr>
      <w:r>
        <w:rPr>
          <w:rStyle w:val="Appelnotedebasdep"/>
        </w:rPr>
        <w:footnoteRef/>
      </w:r>
      <w:r>
        <w:t xml:space="preserve"> </w:t>
      </w:r>
      <w:r>
        <w:tab/>
      </w:r>
      <w:r w:rsidRPr="004F6035">
        <w:rPr>
          <w:i/>
          <w:iCs/>
        </w:rPr>
        <w:t xml:space="preserve">Filion </w:t>
      </w:r>
      <w:r w:rsidRPr="00E51922">
        <w:rPr>
          <w:iCs/>
        </w:rPr>
        <w:t>c.</w:t>
      </w:r>
      <w:r w:rsidRPr="004F6035">
        <w:rPr>
          <w:i/>
          <w:iCs/>
        </w:rPr>
        <w:t xml:space="preserve"> Chagnon</w:t>
      </w:r>
      <w:r w:rsidRPr="00F74A7C">
        <w:t>, 2013 QCCS 446</w:t>
      </w:r>
      <w:r>
        <w:t>.</w:t>
      </w:r>
      <w:r w:rsidR="00637C78" w:rsidRPr="00637C78">
        <w:rPr>
          <w:i/>
          <w:iCs/>
        </w:rPr>
        <w:t xml:space="preserve"> </w:t>
      </w:r>
    </w:p>
  </w:footnote>
  <w:footnote w:id="26">
    <w:p w14:paraId="0D4119DD" w14:textId="640DB1DE" w:rsidR="00D021B1" w:rsidRDefault="00D021B1" w:rsidP="00D021B1">
      <w:pPr>
        <w:pStyle w:val="Notedebasdepage"/>
      </w:pPr>
      <w:r>
        <w:rPr>
          <w:rStyle w:val="Appelnotedebasdep"/>
        </w:rPr>
        <w:footnoteRef/>
      </w:r>
      <w:r>
        <w:t xml:space="preserve"> </w:t>
      </w:r>
      <w:r>
        <w:tab/>
      </w:r>
      <w:r w:rsidRPr="00A90485">
        <w:rPr>
          <w:i/>
          <w:iCs/>
        </w:rPr>
        <w:t>Vaid</w:t>
      </w:r>
      <w:r w:rsidR="00897E01">
        <w:t xml:space="preserve">, </w:t>
      </w:r>
      <w:r w:rsidR="00843895">
        <w:t xml:space="preserve">préc., note 7, </w:t>
      </w:r>
      <w:r>
        <w:t>par.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D34E" w14:textId="4FB1DC7D" w:rsidR="00121A72" w:rsidRDefault="001D2AEE">
    <w:pPr>
      <w:tabs>
        <w:tab w:val="center" w:pos="4709"/>
        <w:tab w:val="right" w:pos="9360"/>
      </w:tabs>
      <w:ind w:right="524"/>
    </w:pPr>
    <w:r>
      <w:t>500-</w:t>
    </w:r>
    <w:r w:rsidR="00F72737">
      <w:t>17-136324-251</w:t>
    </w:r>
    <w:r w:rsidR="00121A72">
      <w:tab/>
    </w:r>
    <w:r w:rsidR="00121A72">
      <w:tab/>
      <w:t xml:space="preserve">PAGE : </w:t>
    </w:r>
    <w:r w:rsidR="00121A72">
      <w:fldChar w:fldCharType="begin"/>
    </w:r>
    <w:r w:rsidR="00121A72">
      <w:instrText xml:space="preserve"> PAGE </w:instrText>
    </w:r>
    <w:r w:rsidR="00121A72">
      <w:fldChar w:fldCharType="separate"/>
    </w:r>
    <w:r w:rsidR="00583EE5">
      <w:rPr>
        <w:noProof/>
      </w:rPr>
      <w:t>2</w:t>
    </w:r>
    <w:r w:rsidR="00121A72">
      <w:fldChar w:fldCharType="end"/>
    </w:r>
  </w:p>
  <w:p w14:paraId="519C98D8" w14:textId="77777777" w:rsidR="00AF3D61" w:rsidRDefault="00AF3D61">
    <w:pPr>
      <w:tabs>
        <w:tab w:val="center" w:pos="4709"/>
        <w:tab w:val="right" w:pos="9360"/>
      </w:tabs>
      <w:ind w:right="524"/>
    </w:pPr>
  </w:p>
  <w:p w14:paraId="24B519B9" w14:textId="77777777" w:rsidR="00121A72" w:rsidRDefault="00121A72">
    <w:pPr>
      <w:tabs>
        <w:tab w:val="center" w:pos="4709"/>
        <w:tab w:val="right" w:pos="9090"/>
      </w:tabs>
      <w:ind w:right="52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36E00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69EF8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6E68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762F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75ED9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D008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14466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AE9E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FC0D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C827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451D3"/>
    <w:multiLevelType w:val="multilevel"/>
    <w:tmpl w:val="BCCC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641AE"/>
    <w:multiLevelType w:val="hybridMultilevel"/>
    <w:tmpl w:val="CCBCFC24"/>
    <w:lvl w:ilvl="0" w:tplc="B34E4186">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9B11B71"/>
    <w:multiLevelType w:val="multilevel"/>
    <w:tmpl w:val="78E43A60"/>
    <w:name w:val="Style1"/>
    <w:styleLink w:val="Style1"/>
    <w:lvl w:ilvl="0">
      <w:start w:val="1"/>
      <w:numFmt w:val="decimal"/>
      <w:pStyle w:val="Titre2"/>
      <w:lvlText w:val="%1."/>
      <w:lvlJc w:val="left"/>
      <w:pPr>
        <w:ind w:left="431" w:hanging="431"/>
      </w:pPr>
      <w:rPr>
        <w:rFonts w:hint="default"/>
      </w:rPr>
    </w:lvl>
    <w:lvl w:ilvl="1">
      <w:start w:val="1"/>
      <w:numFmt w:val="decimal"/>
      <w:pStyle w:val="Titre3"/>
      <w:lvlText w:val="%1.%2"/>
      <w:lvlJc w:val="left"/>
      <w:pPr>
        <w:ind w:left="431" w:hanging="431"/>
      </w:pPr>
      <w:rPr>
        <w:rFonts w:hint="default"/>
      </w:rPr>
    </w:lvl>
    <w:lvl w:ilvl="2">
      <w:start w:val="1"/>
      <w:numFmt w:val="decimal"/>
      <w:pStyle w:val="Titre4"/>
      <w:lvlText w:val="%1.%2.%3"/>
      <w:lvlJc w:val="left"/>
      <w:pPr>
        <w:ind w:left="431" w:hanging="431"/>
      </w:pPr>
      <w:rPr>
        <w:rFonts w:hint="default"/>
      </w:rPr>
    </w:lvl>
    <w:lvl w:ilvl="3">
      <w:start w:val="1"/>
      <w:numFmt w:val="decimal"/>
      <w:pStyle w:val="Titre5"/>
      <w:lvlText w:val="%1.%2.%3.%4"/>
      <w:lvlJc w:val="left"/>
      <w:pPr>
        <w:ind w:left="431" w:hanging="431"/>
      </w:pPr>
      <w:rPr>
        <w:rFonts w:hint="default"/>
      </w:rPr>
    </w:lvl>
    <w:lvl w:ilvl="4">
      <w:start w:val="1"/>
      <w:numFmt w:val="decimal"/>
      <w:pStyle w:val="Titre6"/>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3" w15:restartNumberingAfterBreak="0">
    <w:nsid w:val="2ABB00AC"/>
    <w:multiLevelType w:val="multilevel"/>
    <w:tmpl w:val="B8565C9A"/>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pStyle w:val="Titre7"/>
      <w:lvlText w:val="%1.%2.%3.%4.%5.%6.%7"/>
      <w:lvlJc w:val="left"/>
      <w:pPr>
        <w:ind w:left="431" w:hanging="431"/>
      </w:pPr>
      <w:rPr>
        <w:rFonts w:hint="default"/>
      </w:rPr>
    </w:lvl>
    <w:lvl w:ilvl="7">
      <w:start w:val="1"/>
      <w:numFmt w:val="decimal"/>
      <w:pStyle w:val="Titre8"/>
      <w:lvlText w:val="%1.%2.%3.%4.%5.%6.%7.%8"/>
      <w:lvlJc w:val="left"/>
      <w:pPr>
        <w:ind w:left="431" w:hanging="431"/>
      </w:pPr>
      <w:rPr>
        <w:rFonts w:hint="default"/>
      </w:rPr>
    </w:lvl>
    <w:lvl w:ilvl="8">
      <w:start w:val="1"/>
      <w:numFmt w:val="decimal"/>
      <w:pStyle w:val="Titre9"/>
      <w:lvlText w:val="%1.%2.%3.%4.%5.%6.%7.%8.%9"/>
      <w:lvlJc w:val="left"/>
      <w:pPr>
        <w:ind w:left="431" w:hanging="431"/>
      </w:pPr>
      <w:rPr>
        <w:rFonts w:hint="default"/>
      </w:rPr>
    </w:lvl>
  </w:abstractNum>
  <w:abstractNum w:abstractNumId="14" w15:restartNumberingAfterBreak="0">
    <w:nsid w:val="4BF423AA"/>
    <w:multiLevelType w:val="multilevel"/>
    <w:tmpl w:val="78E43A60"/>
    <w:name w:val="Style12"/>
    <w:numStyleLink w:val="Style1"/>
  </w:abstractNum>
  <w:abstractNum w:abstractNumId="15" w15:restartNumberingAfterBreak="0">
    <w:nsid w:val="4FD71FFF"/>
    <w:multiLevelType w:val="multilevel"/>
    <w:tmpl w:val="80D2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F18C2"/>
    <w:multiLevelType w:val="hybridMultilevel"/>
    <w:tmpl w:val="E460C67E"/>
    <w:lvl w:ilvl="0" w:tplc="0C0C0001">
      <w:start w:val="9"/>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2415801"/>
    <w:multiLevelType w:val="multilevel"/>
    <w:tmpl w:val="78E43A60"/>
    <w:numStyleLink w:val="Style1"/>
  </w:abstractNum>
  <w:abstractNum w:abstractNumId="18" w15:restartNumberingAfterBreak="0">
    <w:nsid w:val="5A0C4719"/>
    <w:multiLevelType w:val="multilevel"/>
    <w:tmpl w:val="78E43A60"/>
    <w:name w:val="Style13"/>
    <w:numStyleLink w:val="Style1"/>
  </w:abstractNum>
  <w:abstractNum w:abstractNumId="19" w15:restartNumberingAfterBreak="0">
    <w:nsid w:val="609C0DCC"/>
    <w:multiLevelType w:val="multilevel"/>
    <w:tmpl w:val="5720EF72"/>
    <w:lvl w:ilvl="0">
      <w:start w:val="1"/>
      <w:numFmt w:val="decimal"/>
      <w:pStyle w:val="Paragr6ptavantetaprsInterlignemultiple1"/>
      <w:lvlText w:val="[%1]"/>
      <w:lvlJc w:val="left"/>
      <w:pPr>
        <w:tabs>
          <w:tab w:val="num" w:pos="360"/>
        </w:tabs>
        <w:ind w:left="0" w:firstLine="0"/>
      </w:pPr>
      <w:rPr>
        <w:rFonts w:ascii="Arial" w:hAnsi="Arial" w:hint="default"/>
        <w:b w:val="0"/>
        <w:i w:val="0"/>
        <w:sz w:val="24"/>
      </w:rPr>
    </w:lvl>
    <w:lvl w:ilvl="1">
      <w:start w:val="1"/>
      <w:numFmt w:val="decimal"/>
      <w:pStyle w:val="Sous-paragraphe"/>
      <w:lvlText w:val="%1.%2."/>
      <w:lvlJc w:val="left"/>
      <w:pPr>
        <w:tabs>
          <w:tab w:val="num" w:pos="1000"/>
        </w:tabs>
        <w:ind w:left="100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96433505">
    <w:abstractNumId w:val="19"/>
  </w:num>
  <w:num w:numId="2" w16cid:durableId="466044666">
    <w:abstractNumId w:val="19"/>
  </w:num>
  <w:num w:numId="3" w16cid:durableId="1532182113">
    <w:abstractNumId w:val="19"/>
  </w:num>
  <w:num w:numId="4" w16cid:durableId="318537545">
    <w:abstractNumId w:val="8"/>
  </w:num>
  <w:num w:numId="5" w16cid:durableId="1826822473">
    <w:abstractNumId w:val="3"/>
  </w:num>
  <w:num w:numId="6" w16cid:durableId="1948197200">
    <w:abstractNumId w:val="2"/>
  </w:num>
  <w:num w:numId="7" w16cid:durableId="879633521">
    <w:abstractNumId w:val="1"/>
  </w:num>
  <w:num w:numId="8" w16cid:durableId="568426370">
    <w:abstractNumId w:val="0"/>
  </w:num>
  <w:num w:numId="9" w16cid:durableId="1122577027">
    <w:abstractNumId w:val="9"/>
  </w:num>
  <w:num w:numId="10" w16cid:durableId="518588330">
    <w:abstractNumId w:val="7"/>
  </w:num>
  <w:num w:numId="11" w16cid:durableId="813984185">
    <w:abstractNumId w:val="6"/>
  </w:num>
  <w:num w:numId="12" w16cid:durableId="1092120822">
    <w:abstractNumId w:val="5"/>
  </w:num>
  <w:num w:numId="13" w16cid:durableId="1674604630">
    <w:abstractNumId w:val="4"/>
  </w:num>
  <w:num w:numId="14" w16cid:durableId="1916040549">
    <w:abstractNumId w:val="11"/>
  </w:num>
  <w:num w:numId="15" w16cid:durableId="558052806">
    <w:abstractNumId w:val="13"/>
  </w:num>
  <w:num w:numId="16" w16cid:durableId="2084060209">
    <w:abstractNumId w:val="12"/>
  </w:num>
  <w:num w:numId="17" w16cid:durableId="1436441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0089523">
    <w:abstractNumId w:val="17"/>
  </w:num>
  <w:num w:numId="19" w16cid:durableId="2029259904">
    <w:abstractNumId w:val="14"/>
  </w:num>
  <w:num w:numId="20" w16cid:durableId="698286757">
    <w:abstractNumId w:val="18"/>
  </w:num>
  <w:num w:numId="21" w16cid:durableId="1981617762">
    <w:abstractNumId w:val="18"/>
  </w:num>
  <w:num w:numId="22" w16cid:durableId="853541964">
    <w:abstractNumId w:val="18"/>
  </w:num>
  <w:num w:numId="23" w16cid:durableId="529102133">
    <w:abstractNumId w:val="18"/>
  </w:num>
  <w:num w:numId="24" w16cid:durableId="1071347493">
    <w:abstractNumId w:val="18"/>
  </w:num>
  <w:num w:numId="25" w16cid:durableId="1276133728">
    <w:abstractNumId w:val="19"/>
  </w:num>
  <w:num w:numId="26" w16cid:durableId="1539849879">
    <w:abstractNumId w:val="19"/>
  </w:num>
  <w:num w:numId="27" w16cid:durableId="960963475">
    <w:abstractNumId w:val="19"/>
  </w:num>
  <w:num w:numId="28" w16cid:durableId="2090616699">
    <w:abstractNumId w:val="19"/>
  </w:num>
  <w:num w:numId="29" w16cid:durableId="945503960">
    <w:abstractNumId w:val="19"/>
  </w:num>
  <w:num w:numId="30" w16cid:durableId="634913709">
    <w:abstractNumId w:val="18"/>
  </w:num>
  <w:num w:numId="31" w16cid:durableId="99647403">
    <w:abstractNumId w:val="18"/>
  </w:num>
  <w:num w:numId="32" w16cid:durableId="1993439304">
    <w:abstractNumId w:val="19"/>
  </w:num>
  <w:num w:numId="33" w16cid:durableId="843781572">
    <w:abstractNumId w:val="19"/>
  </w:num>
  <w:num w:numId="34" w16cid:durableId="1756392571">
    <w:abstractNumId w:val="12"/>
  </w:num>
  <w:num w:numId="35" w16cid:durableId="1208107982">
    <w:abstractNumId w:val="10"/>
  </w:num>
  <w:num w:numId="36" w16cid:durableId="2142381938">
    <w:abstractNumId w:val="16"/>
  </w:num>
  <w:num w:numId="37" w16cid:durableId="8010736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3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F67"/>
    <w:rsid w:val="00000853"/>
    <w:rsid w:val="00007687"/>
    <w:rsid w:val="0001127D"/>
    <w:rsid w:val="00024BEC"/>
    <w:rsid w:val="0006798C"/>
    <w:rsid w:val="00070E75"/>
    <w:rsid w:val="000725BD"/>
    <w:rsid w:val="000929F9"/>
    <w:rsid w:val="000A0DC5"/>
    <w:rsid w:val="000A3312"/>
    <w:rsid w:val="000A64D1"/>
    <w:rsid w:val="000A653F"/>
    <w:rsid w:val="000A6F1F"/>
    <w:rsid w:val="000C66A3"/>
    <w:rsid w:val="000E7903"/>
    <w:rsid w:val="00101C9F"/>
    <w:rsid w:val="001160DE"/>
    <w:rsid w:val="0011785C"/>
    <w:rsid w:val="00121A72"/>
    <w:rsid w:val="00146C4B"/>
    <w:rsid w:val="00155840"/>
    <w:rsid w:val="0016692A"/>
    <w:rsid w:val="0017003D"/>
    <w:rsid w:val="00170E9B"/>
    <w:rsid w:val="001A2193"/>
    <w:rsid w:val="001B0DA6"/>
    <w:rsid w:val="001B29AC"/>
    <w:rsid w:val="001B308A"/>
    <w:rsid w:val="001B7C96"/>
    <w:rsid w:val="001C251E"/>
    <w:rsid w:val="001D2AEE"/>
    <w:rsid w:val="001D5F69"/>
    <w:rsid w:val="001E7BB1"/>
    <w:rsid w:val="00212E0C"/>
    <w:rsid w:val="00220868"/>
    <w:rsid w:val="002528CF"/>
    <w:rsid w:val="00257FC6"/>
    <w:rsid w:val="00282D0B"/>
    <w:rsid w:val="00290806"/>
    <w:rsid w:val="00297355"/>
    <w:rsid w:val="002A3AA7"/>
    <w:rsid w:val="002A7B92"/>
    <w:rsid w:val="002B78CB"/>
    <w:rsid w:val="002C6507"/>
    <w:rsid w:val="002C7FF3"/>
    <w:rsid w:val="002F5AFE"/>
    <w:rsid w:val="0030082D"/>
    <w:rsid w:val="00306015"/>
    <w:rsid w:val="0032564F"/>
    <w:rsid w:val="0032571A"/>
    <w:rsid w:val="00342D14"/>
    <w:rsid w:val="00384966"/>
    <w:rsid w:val="00394339"/>
    <w:rsid w:val="003A4CA5"/>
    <w:rsid w:val="003B2F93"/>
    <w:rsid w:val="003C1FD8"/>
    <w:rsid w:val="003E493A"/>
    <w:rsid w:val="003E676C"/>
    <w:rsid w:val="00401806"/>
    <w:rsid w:val="00404506"/>
    <w:rsid w:val="00413982"/>
    <w:rsid w:val="0043392D"/>
    <w:rsid w:val="00435A22"/>
    <w:rsid w:val="004559A2"/>
    <w:rsid w:val="00462CB2"/>
    <w:rsid w:val="00463C08"/>
    <w:rsid w:val="00487D2E"/>
    <w:rsid w:val="00494DB2"/>
    <w:rsid w:val="00496125"/>
    <w:rsid w:val="004A0A68"/>
    <w:rsid w:val="004A56D4"/>
    <w:rsid w:val="004B320D"/>
    <w:rsid w:val="004B772E"/>
    <w:rsid w:val="004E154F"/>
    <w:rsid w:val="004F0906"/>
    <w:rsid w:val="004F2F21"/>
    <w:rsid w:val="004F6035"/>
    <w:rsid w:val="00502FEE"/>
    <w:rsid w:val="00507665"/>
    <w:rsid w:val="0051098D"/>
    <w:rsid w:val="00516FD8"/>
    <w:rsid w:val="00521A42"/>
    <w:rsid w:val="00522DFB"/>
    <w:rsid w:val="005267CB"/>
    <w:rsid w:val="0054447E"/>
    <w:rsid w:val="00547C67"/>
    <w:rsid w:val="00583EE5"/>
    <w:rsid w:val="005A35E7"/>
    <w:rsid w:val="005B5D01"/>
    <w:rsid w:val="005C7008"/>
    <w:rsid w:val="005D4482"/>
    <w:rsid w:val="005D62FF"/>
    <w:rsid w:val="005E21E9"/>
    <w:rsid w:val="005E6881"/>
    <w:rsid w:val="005F42A4"/>
    <w:rsid w:val="005F4F54"/>
    <w:rsid w:val="00604D7F"/>
    <w:rsid w:val="00605511"/>
    <w:rsid w:val="00630DE5"/>
    <w:rsid w:val="0063197F"/>
    <w:rsid w:val="00633B6C"/>
    <w:rsid w:val="00633EE8"/>
    <w:rsid w:val="00635D04"/>
    <w:rsid w:val="00637C78"/>
    <w:rsid w:val="0065518A"/>
    <w:rsid w:val="0066117D"/>
    <w:rsid w:val="0068135B"/>
    <w:rsid w:val="00682DC0"/>
    <w:rsid w:val="0068343F"/>
    <w:rsid w:val="006A7648"/>
    <w:rsid w:val="006A7FF3"/>
    <w:rsid w:val="006D0AC2"/>
    <w:rsid w:val="006D4F4A"/>
    <w:rsid w:val="006D6662"/>
    <w:rsid w:val="006E12AE"/>
    <w:rsid w:val="006E2409"/>
    <w:rsid w:val="006E5F88"/>
    <w:rsid w:val="006F3738"/>
    <w:rsid w:val="00704CED"/>
    <w:rsid w:val="007273CB"/>
    <w:rsid w:val="007278A2"/>
    <w:rsid w:val="007302C8"/>
    <w:rsid w:val="00741DFE"/>
    <w:rsid w:val="00751FF9"/>
    <w:rsid w:val="00753205"/>
    <w:rsid w:val="00793DC6"/>
    <w:rsid w:val="00797BF2"/>
    <w:rsid w:val="007A1187"/>
    <w:rsid w:val="007A1402"/>
    <w:rsid w:val="007A1A4D"/>
    <w:rsid w:val="007A6884"/>
    <w:rsid w:val="007B2384"/>
    <w:rsid w:val="007C6155"/>
    <w:rsid w:val="007D75C8"/>
    <w:rsid w:val="007E66D8"/>
    <w:rsid w:val="007F3430"/>
    <w:rsid w:val="008034D9"/>
    <w:rsid w:val="00807CBF"/>
    <w:rsid w:val="008132DA"/>
    <w:rsid w:val="0082219F"/>
    <w:rsid w:val="00822D81"/>
    <w:rsid w:val="00830392"/>
    <w:rsid w:val="008423E8"/>
    <w:rsid w:val="00843895"/>
    <w:rsid w:val="00861B7E"/>
    <w:rsid w:val="00863F90"/>
    <w:rsid w:val="0086649C"/>
    <w:rsid w:val="00885E81"/>
    <w:rsid w:val="00893F86"/>
    <w:rsid w:val="00897E01"/>
    <w:rsid w:val="008A4532"/>
    <w:rsid w:val="008A509D"/>
    <w:rsid w:val="008A7E08"/>
    <w:rsid w:val="008C3515"/>
    <w:rsid w:val="008C515F"/>
    <w:rsid w:val="008D7470"/>
    <w:rsid w:val="00910853"/>
    <w:rsid w:val="0091495F"/>
    <w:rsid w:val="009209D9"/>
    <w:rsid w:val="009212A7"/>
    <w:rsid w:val="00921AE7"/>
    <w:rsid w:val="00924EDB"/>
    <w:rsid w:val="009258CD"/>
    <w:rsid w:val="009561DA"/>
    <w:rsid w:val="009638B2"/>
    <w:rsid w:val="009657C3"/>
    <w:rsid w:val="0098014E"/>
    <w:rsid w:val="00981DD8"/>
    <w:rsid w:val="00984E35"/>
    <w:rsid w:val="00992D23"/>
    <w:rsid w:val="00995DA9"/>
    <w:rsid w:val="009D29F8"/>
    <w:rsid w:val="009E7E11"/>
    <w:rsid w:val="009F183E"/>
    <w:rsid w:val="009F505F"/>
    <w:rsid w:val="00A00761"/>
    <w:rsid w:val="00A015F6"/>
    <w:rsid w:val="00A04FFF"/>
    <w:rsid w:val="00A25C8E"/>
    <w:rsid w:val="00A25F4C"/>
    <w:rsid w:val="00A3455B"/>
    <w:rsid w:val="00A431E7"/>
    <w:rsid w:val="00A90485"/>
    <w:rsid w:val="00A94E31"/>
    <w:rsid w:val="00AA01E6"/>
    <w:rsid w:val="00AB1AAF"/>
    <w:rsid w:val="00AB5EB8"/>
    <w:rsid w:val="00AC0748"/>
    <w:rsid w:val="00AC2E5F"/>
    <w:rsid w:val="00AC3778"/>
    <w:rsid w:val="00AE79EC"/>
    <w:rsid w:val="00AF1575"/>
    <w:rsid w:val="00AF3D61"/>
    <w:rsid w:val="00B00896"/>
    <w:rsid w:val="00B071C3"/>
    <w:rsid w:val="00B12604"/>
    <w:rsid w:val="00B3784B"/>
    <w:rsid w:val="00B7151C"/>
    <w:rsid w:val="00B721EB"/>
    <w:rsid w:val="00B855E1"/>
    <w:rsid w:val="00B87404"/>
    <w:rsid w:val="00B8761D"/>
    <w:rsid w:val="00B933D5"/>
    <w:rsid w:val="00B9711B"/>
    <w:rsid w:val="00BA0D24"/>
    <w:rsid w:val="00BA153A"/>
    <w:rsid w:val="00BB140C"/>
    <w:rsid w:val="00BB35D3"/>
    <w:rsid w:val="00BB7668"/>
    <w:rsid w:val="00BC2F67"/>
    <w:rsid w:val="00BE4800"/>
    <w:rsid w:val="00BE4C30"/>
    <w:rsid w:val="00BE662F"/>
    <w:rsid w:val="00BF3285"/>
    <w:rsid w:val="00BF7684"/>
    <w:rsid w:val="00C00BDA"/>
    <w:rsid w:val="00C025FC"/>
    <w:rsid w:val="00C0561F"/>
    <w:rsid w:val="00C13A2A"/>
    <w:rsid w:val="00C207C2"/>
    <w:rsid w:val="00C22EE9"/>
    <w:rsid w:val="00C26489"/>
    <w:rsid w:val="00CA1CC2"/>
    <w:rsid w:val="00CA7806"/>
    <w:rsid w:val="00CB2EF2"/>
    <w:rsid w:val="00CB4792"/>
    <w:rsid w:val="00CC28FE"/>
    <w:rsid w:val="00CC41DF"/>
    <w:rsid w:val="00CE1CAF"/>
    <w:rsid w:val="00CE5A4C"/>
    <w:rsid w:val="00CE7CA3"/>
    <w:rsid w:val="00CF51ED"/>
    <w:rsid w:val="00CF64D4"/>
    <w:rsid w:val="00D00772"/>
    <w:rsid w:val="00D021B1"/>
    <w:rsid w:val="00D026B9"/>
    <w:rsid w:val="00D11B8E"/>
    <w:rsid w:val="00D12D92"/>
    <w:rsid w:val="00D26929"/>
    <w:rsid w:val="00D3089F"/>
    <w:rsid w:val="00D3755E"/>
    <w:rsid w:val="00D40935"/>
    <w:rsid w:val="00D51A11"/>
    <w:rsid w:val="00D51B43"/>
    <w:rsid w:val="00D637E9"/>
    <w:rsid w:val="00D63C26"/>
    <w:rsid w:val="00DB5FB4"/>
    <w:rsid w:val="00DC1578"/>
    <w:rsid w:val="00DD53DA"/>
    <w:rsid w:val="00DD58E8"/>
    <w:rsid w:val="00E06A59"/>
    <w:rsid w:val="00E275BE"/>
    <w:rsid w:val="00E35A0D"/>
    <w:rsid w:val="00E467E1"/>
    <w:rsid w:val="00E51922"/>
    <w:rsid w:val="00E66A21"/>
    <w:rsid w:val="00E71559"/>
    <w:rsid w:val="00E731C4"/>
    <w:rsid w:val="00E8652A"/>
    <w:rsid w:val="00EA2037"/>
    <w:rsid w:val="00EC4868"/>
    <w:rsid w:val="00EC705F"/>
    <w:rsid w:val="00ED7665"/>
    <w:rsid w:val="00EE2C09"/>
    <w:rsid w:val="00EF13C8"/>
    <w:rsid w:val="00EF5E33"/>
    <w:rsid w:val="00F1055D"/>
    <w:rsid w:val="00F110CE"/>
    <w:rsid w:val="00F165DB"/>
    <w:rsid w:val="00F17269"/>
    <w:rsid w:val="00F1799A"/>
    <w:rsid w:val="00F20D4D"/>
    <w:rsid w:val="00F379DC"/>
    <w:rsid w:val="00F4770B"/>
    <w:rsid w:val="00F615F2"/>
    <w:rsid w:val="00F62D73"/>
    <w:rsid w:val="00F658C5"/>
    <w:rsid w:val="00F72737"/>
    <w:rsid w:val="00F73EC5"/>
    <w:rsid w:val="00F74A7C"/>
    <w:rsid w:val="00F77322"/>
    <w:rsid w:val="00F84E41"/>
    <w:rsid w:val="00F87C55"/>
    <w:rsid w:val="00F91652"/>
    <w:rsid w:val="00F95BFA"/>
    <w:rsid w:val="00FA2270"/>
    <w:rsid w:val="00FA45E5"/>
    <w:rsid w:val="00FC21F9"/>
    <w:rsid w:val="00FD4A44"/>
    <w:rsid w:val="00FF377E"/>
    <w:rsid w:val="00FF5A3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F8411"/>
  <w15:chartTrackingRefBased/>
  <w15:docId w15:val="{664297DC-99BE-4E86-990C-E7625C68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fr-FR"/>
    </w:rPr>
  </w:style>
  <w:style w:type="paragraph" w:styleId="Titre1">
    <w:name w:val="heading 1"/>
    <w:basedOn w:val="Normal"/>
    <w:next w:val="Paragr6ptavantetaprsInterlignemultiple1"/>
    <w:qFormat/>
    <w:rsid w:val="00D12D92"/>
    <w:pPr>
      <w:keepNext/>
      <w:spacing w:before="240" w:after="60"/>
      <w:ind w:left="432" w:hanging="432"/>
      <w:outlineLvl w:val="0"/>
    </w:pPr>
    <w:rPr>
      <w:b/>
      <w:kern w:val="28"/>
      <w:u w:val="single"/>
    </w:rPr>
  </w:style>
  <w:style w:type="paragraph" w:styleId="Titre2">
    <w:name w:val="heading 2"/>
    <w:basedOn w:val="Normal"/>
    <w:next w:val="Paragr6ptavantetaprsInterlignemultiple1"/>
    <w:qFormat/>
    <w:rsid w:val="00BA153A"/>
    <w:pPr>
      <w:keepNext/>
      <w:numPr>
        <w:numId w:val="16"/>
      </w:numPr>
      <w:spacing w:before="240" w:after="60"/>
      <w:ind w:left="709" w:hanging="709"/>
      <w:outlineLvl w:val="1"/>
    </w:pPr>
    <w:rPr>
      <w:b/>
      <w:caps/>
      <w:u w:val="single"/>
    </w:rPr>
  </w:style>
  <w:style w:type="paragraph" w:styleId="Titre3">
    <w:name w:val="heading 3"/>
    <w:basedOn w:val="Normal"/>
    <w:next w:val="Paragr6ptavantetaprsInterlignemultiple1"/>
    <w:qFormat/>
    <w:rsid w:val="00AF1575"/>
    <w:pPr>
      <w:keepNext/>
      <w:numPr>
        <w:ilvl w:val="1"/>
        <w:numId w:val="16"/>
      </w:numPr>
      <w:spacing w:before="240" w:after="60"/>
      <w:ind w:left="1162"/>
      <w:outlineLvl w:val="2"/>
    </w:pPr>
    <w:rPr>
      <w:b/>
    </w:rPr>
  </w:style>
  <w:style w:type="paragraph" w:styleId="Titre4">
    <w:name w:val="heading 4"/>
    <w:basedOn w:val="Normal"/>
    <w:next w:val="Paragr6ptavantetaprsInterlignemultiple1"/>
    <w:qFormat/>
    <w:rsid w:val="00AF1575"/>
    <w:pPr>
      <w:keepNext/>
      <w:numPr>
        <w:ilvl w:val="2"/>
        <w:numId w:val="16"/>
      </w:numPr>
      <w:spacing w:before="240" w:after="60"/>
      <w:ind w:left="1985" w:hanging="851"/>
      <w:outlineLvl w:val="3"/>
    </w:pPr>
    <w:rPr>
      <w:b/>
    </w:rPr>
  </w:style>
  <w:style w:type="paragraph" w:styleId="Titre5">
    <w:name w:val="heading 5"/>
    <w:basedOn w:val="Titre4"/>
    <w:next w:val="Paragr6ptavantetaprsInterlignemultiple1"/>
    <w:qFormat/>
    <w:rsid w:val="001B0DA6"/>
    <w:pPr>
      <w:numPr>
        <w:ilvl w:val="3"/>
      </w:numPr>
      <w:ind w:left="2495" w:hanging="1077"/>
      <w:outlineLvl w:val="4"/>
    </w:pPr>
  </w:style>
  <w:style w:type="paragraph" w:styleId="Titre6">
    <w:name w:val="heading 6"/>
    <w:basedOn w:val="Titre5"/>
    <w:next w:val="Paragr6ptavantetaprsInterlignemultiple1"/>
    <w:qFormat/>
    <w:rsid w:val="00C025FC"/>
    <w:pPr>
      <w:numPr>
        <w:ilvl w:val="4"/>
      </w:numPr>
      <w:ind w:left="3657" w:hanging="1247"/>
      <w:outlineLvl w:val="5"/>
    </w:pPr>
  </w:style>
  <w:style w:type="paragraph" w:styleId="Titre7">
    <w:name w:val="heading 7"/>
    <w:basedOn w:val="Normal"/>
    <w:next w:val="Normal"/>
    <w:qFormat/>
    <w:pPr>
      <w:numPr>
        <w:ilvl w:val="6"/>
        <w:numId w:val="15"/>
      </w:numPr>
      <w:spacing w:before="240" w:after="60"/>
      <w:outlineLvl w:val="6"/>
    </w:pPr>
    <w:rPr>
      <w:sz w:val="20"/>
    </w:rPr>
  </w:style>
  <w:style w:type="paragraph" w:styleId="Titre8">
    <w:name w:val="heading 8"/>
    <w:basedOn w:val="Normal"/>
    <w:next w:val="Normal"/>
    <w:qFormat/>
    <w:pPr>
      <w:numPr>
        <w:ilvl w:val="7"/>
        <w:numId w:val="15"/>
      </w:numPr>
      <w:spacing w:before="240" w:after="60"/>
      <w:outlineLvl w:val="7"/>
    </w:pPr>
    <w:rPr>
      <w:i/>
      <w:sz w:val="20"/>
    </w:rPr>
  </w:style>
  <w:style w:type="paragraph" w:styleId="Titre9">
    <w:name w:val="heading 9"/>
    <w:basedOn w:val="Normal"/>
    <w:next w:val="Normal"/>
    <w:qFormat/>
    <w:pPr>
      <w:numPr>
        <w:ilvl w:val="8"/>
        <w:numId w:val="15"/>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6ptavantetaprsInterlignemultiple1">
    <w:name w:val="Paragr. 6 pt avant et après + Interligne multiple 1"/>
    <w:aliases w:val="25"/>
    <w:basedOn w:val="Normal"/>
    <w:rsid w:val="00BE4800"/>
    <w:pPr>
      <w:numPr>
        <w:numId w:val="2"/>
      </w:numPr>
      <w:tabs>
        <w:tab w:val="clear" w:pos="360"/>
      </w:tabs>
      <w:spacing w:before="120" w:after="120" w:line="300" w:lineRule="auto"/>
      <w:jc w:val="both"/>
    </w:pPr>
    <w:rPr>
      <w:kern w:val="28"/>
    </w:rPr>
  </w:style>
  <w:style w:type="paragraph" w:customStyle="1" w:styleId="Citationenretrait">
    <w:name w:val="Citation en retrait"/>
    <w:basedOn w:val="Normal"/>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semiHidden/>
    <w:pPr>
      <w:spacing w:after="120"/>
    </w:pPr>
  </w:style>
  <w:style w:type="paragraph" w:styleId="Notedebasdepage">
    <w:name w:val="footnote text"/>
    <w:basedOn w:val="Normal"/>
    <w:link w:val="NotedebasdepageCar"/>
    <w:uiPriority w:val="99"/>
    <w:pPr>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pPr>
      <w:jc w:val="center"/>
    </w:pPr>
    <w:rPr>
      <w:b/>
      <w:sz w:val="36"/>
    </w:rPr>
  </w:style>
  <w:style w:type="paragraph" w:customStyle="1" w:styleId="zSoquijlblPays">
    <w:name w:val="zSoquij_lblPays"/>
    <w:basedOn w:val="Normal"/>
    <w:rsid w:val="00C025FC"/>
    <w:rPr>
      <w:caps/>
    </w:rPr>
  </w:style>
  <w:style w:type="paragraph" w:customStyle="1" w:styleId="zSoquijlblProvince">
    <w:name w:val="zSoquij_lblProvince"/>
    <w:basedOn w:val="Normal"/>
    <w:rsid w:val="00C025FC"/>
    <w:rPr>
      <w:caps/>
    </w:rPr>
  </w:style>
  <w:style w:type="paragraph" w:customStyle="1" w:styleId="zSoquijlblGreffe">
    <w:name w:val="zSoquij_lblGreffe"/>
    <w:basedOn w:val="Normal"/>
    <w:rsid w:val="00C025FC"/>
    <w:pPr>
      <w:ind w:left="70"/>
    </w:pPr>
    <w:rPr>
      <w:caps/>
    </w:rPr>
  </w:style>
  <w:style w:type="paragraph" w:customStyle="1" w:styleId="zSoquijdatGreffe">
    <w:name w:val="zSoquij_datGreffe"/>
    <w:basedOn w:val="Normal"/>
    <w:rsid w:val="00C025FC"/>
    <w:pPr>
      <w:ind w:left="29"/>
    </w:pPr>
    <w:rPr>
      <w:caps/>
    </w:rPr>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rsid w:val="00C025FC"/>
    <w:pPr>
      <w:ind w:left="70"/>
    </w:pPr>
    <w:rPr>
      <w:b/>
      <w:caps/>
    </w:rPr>
  </w:style>
  <w:style w:type="paragraph" w:customStyle="1" w:styleId="zSoquijdatQteJuge">
    <w:name w:val="zSoquij_datQteJuge"/>
    <w:basedOn w:val="Normal"/>
    <w:rsid w:val="00C025FC"/>
    <w:pPr>
      <w:ind w:left="29"/>
    </w:pPr>
    <w:rPr>
      <w:b/>
      <w:caps/>
    </w:rPr>
  </w:style>
  <w:style w:type="paragraph" w:customStyle="1" w:styleId="zSoquijdatJuge">
    <w:name w:val="zSoquij_datJuge"/>
    <w:basedOn w:val="Normal"/>
    <w:rsid w:val="00D11B8E"/>
    <w:pPr>
      <w:ind w:left="52"/>
    </w:pPr>
    <w:rPr>
      <w:b/>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rsid w:val="00C025FC"/>
    <w:pPr>
      <w:jc w:val="center"/>
    </w:pPr>
    <w:rPr>
      <w:caps/>
    </w:r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tabs>
        <w:tab w:val="left" w:pos="720"/>
      </w:tabs>
      <w:jc w:val="center"/>
    </w:pPr>
  </w:style>
  <w:style w:type="character" w:customStyle="1" w:styleId="zSoquijlblEntNoDossier">
    <w:name w:val="zSoquij_lblEntNoDossier"/>
    <w:rPr>
      <w:lang w:val="fr-CA"/>
    </w:rPr>
  </w:style>
  <w:style w:type="paragraph" w:customStyle="1" w:styleId="zSoquijlblTitrePartie">
    <w:name w:val="zSoquij_lblTitrePartie"/>
    <w:basedOn w:val="Normal"/>
  </w:style>
  <w:style w:type="paragraph" w:customStyle="1" w:styleId="zSoquijdatSignature3Juge">
    <w:name w:val="zSoquij_datSignature3Juge"/>
    <w:basedOn w:val="Normal"/>
    <w:rsid w:val="00DD58E8"/>
  </w:style>
  <w:style w:type="paragraph" w:customStyle="1" w:styleId="ParagNonNum">
    <w:name w:val="ParagNonNum"/>
    <w:basedOn w:val="Paragr6ptavantetaprsInterlignemultiple1"/>
    <w:pPr>
      <w:numPr>
        <w:numId w:val="0"/>
      </w:numPr>
      <w:ind w:firstLine="734"/>
    </w:pPr>
  </w:style>
  <w:style w:type="paragraph" w:customStyle="1" w:styleId="zSoquijdatIdJuge">
    <w:name w:val="zSoquij_datIdJuge"/>
    <w:basedOn w:val="Normal"/>
    <w:pPr>
      <w:jc w:val="center"/>
    </w:pPr>
    <w:rPr>
      <w:sz w:val="20"/>
    </w:rPr>
  </w:style>
  <w:style w:type="paragraph" w:customStyle="1" w:styleId="Sous-paragraphe">
    <w:name w:val="Sous-paragraphe"/>
    <w:basedOn w:val="Normal"/>
    <w:rsid w:val="00CF51ED"/>
    <w:pPr>
      <w:widowControl w:val="0"/>
      <w:numPr>
        <w:ilvl w:val="1"/>
        <w:numId w:val="3"/>
      </w:numPr>
      <w:spacing w:before="120" w:after="120"/>
      <w:ind w:left="1462" w:hanging="731"/>
      <w:jc w:val="both"/>
    </w:pPr>
    <w:rPr>
      <w:kern w:val="28"/>
    </w:rPr>
  </w:style>
  <w:style w:type="paragraph" w:customStyle="1" w:styleId="zSoquijdatNomProcureurDem">
    <w:name w:val="zSoquij_datNomProcureurDem"/>
    <w:basedOn w:val="zSoquijlblProcureurDem"/>
  </w:style>
  <w:style w:type="paragraph" w:customStyle="1" w:styleId="zSoquijdatNomProcureurDef">
    <w:name w:val="zSoquij_datNomProcureurDef"/>
    <w:basedOn w:val="zSoquijlblProcureurDef"/>
  </w:style>
  <w:style w:type="paragraph" w:customStyle="1" w:styleId="zSoquijdatCabinetProcureurDem">
    <w:name w:val="zSoquij_datCabinetProcureurDem"/>
    <w:basedOn w:val="Normal"/>
  </w:style>
  <w:style w:type="paragraph" w:customStyle="1" w:styleId="zSoquijdatCabinetProcureurDef">
    <w:name w:val="zSoquij_datCabinetProcureurDef"/>
    <w:basedOn w:val="zSoquijlblProcureurDef"/>
  </w:style>
  <w:style w:type="paragraph" w:customStyle="1" w:styleId="zSoquijdatSignatureJuge1">
    <w:name w:val="zSoquij_datSignatureJuge1"/>
    <w:basedOn w:val="Normal"/>
  </w:style>
  <w:style w:type="paragraph" w:customStyle="1" w:styleId="zSoquijdatSignatureJuge2">
    <w:name w:val="zSoquij_datSignatureJuge2"/>
    <w:basedOn w:val="Normal"/>
  </w:style>
  <w:style w:type="paragraph" w:customStyle="1" w:styleId="zSoquijdatSignatureJuge3">
    <w:name w:val="zSoquij_datSignatureJuge3"/>
    <w:basedOn w:val="Normal"/>
  </w:style>
  <w:style w:type="paragraph" w:customStyle="1" w:styleId="zSoquijdatRepertorie">
    <w:name w:val="zSoquij_datRepertorie"/>
    <w:basedOn w:val="zSoquijlblCour"/>
    <w:pPr>
      <w:jc w:val="left"/>
    </w:pPr>
    <w:rPr>
      <w:noProof/>
      <w:sz w:val="22"/>
    </w:rPr>
  </w:style>
  <w:style w:type="paragraph" w:customStyle="1" w:styleId="zSoquijdatRefNeutre">
    <w:name w:val="zSoquij_datRefNeutre"/>
    <w:basedOn w:val="zSoquijlblCour"/>
    <w:pPr>
      <w:jc w:val="left"/>
    </w:pPr>
    <w:rPr>
      <w:noProof/>
      <w:sz w:val="22"/>
    </w:rPr>
  </w:style>
  <w:style w:type="paragraph" w:customStyle="1" w:styleId="zSoquijdatSignature2Juge">
    <w:name w:val="zSoquij_datSignature2Juge"/>
    <w:basedOn w:val="zSoquijdatSignatureJuge3"/>
  </w:style>
  <w:style w:type="paragraph" w:customStyle="1" w:styleId="ParagAlaMarge">
    <w:name w:val="ParagAlaMarge"/>
    <w:basedOn w:val="ParagNonNum"/>
    <w:next w:val="Paragr6ptavantetaprsInterlignemultiple1"/>
    <w:rsid w:val="00CF51ED"/>
    <w:pPr>
      <w:ind w:firstLine="0"/>
    </w:pPr>
  </w:style>
  <w:style w:type="paragraph" w:customStyle="1" w:styleId="zSoquijlblAssesseurs">
    <w:name w:val="zSoquij_lblAssesseurs"/>
    <w:basedOn w:val="Normal"/>
    <w:pPr>
      <w:ind w:left="14" w:right="-67"/>
    </w:pPr>
  </w:style>
  <w:style w:type="paragraph" w:customStyle="1" w:styleId="zSoquijdatAssesseurs">
    <w:name w:val="zSoquij_datAssesseurs"/>
    <w:basedOn w:val="Normal"/>
    <w:pPr>
      <w:ind w:left="14" w:right="-67"/>
    </w:pPr>
  </w:style>
  <w:style w:type="paragraph" w:customStyle="1" w:styleId="zSoquijlblLocalite">
    <w:name w:val="zSoquij_lblLocalite"/>
    <w:basedOn w:val="zSoquijlblGreffe"/>
  </w:style>
  <w:style w:type="paragraph" w:customStyle="1" w:styleId="zSoquijdatLocalite">
    <w:name w:val="zSoquij_datLocalite"/>
    <w:basedOn w:val="zSoquijdatGreffe"/>
  </w:style>
  <w:style w:type="numbering" w:customStyle="1" w:styleId="Style1">
    <w:name w:val="Style1"/>
    <w:uiPriority w:val="99"/>
    <w:rsid w:val="00CE1CAF"/>
    <w:pPr>
      <w:numPr>
        <w:numId w:val="16"/>
      </w:numPr>
    </w:pPr>
  </w:style>
  <w:style w:type="paragraph" w:customStyle="1" w:styleId="Paragrsimple">
    <w:name w:val="Paragr. simple"/>
    <w:basedOn w:val="Paragr6ptavantetaprsInterlignemultiple1"/>
    <w:next w:val="Paragr6ptavantetaprsInterlignemultiple1"/>
    <w:qFormat/>
    <w:rsid w:val="004A0A68"/>
    <w:pPr>
      <w:spacing w:line="240" w:lineRule="auto"/>
    </w:pPr>
  </w:style>
  <w:style w:type="paragraph" w:styleId="En-ttedetabledesmatires">
    <w:name w:val="TOC Heading"/>
    <w:basedOn w:val="Titre1"/>
    <w:next w:val="Normal"/>
    <w:uiPriority w:val="39"/>
    <w:qFormat/>
    <w:rsid w:val="00BA153A"/>
    <w:pPr>
      <w:keepLines/>
      <w:spacing w:before="480" w:after="0" w:line="276" w:lineRule="auto"/>
      <w:ind w:left="0" w:firstLine="0"/>
      <w:outlineLvl w:val="9"/>
    </w:pPr>
    <w:rPr>
      <w:rFonts w:ascii="Cambria" w:hAnsi="Cambria"/>
      <w:bCs/>
      <w:color w:val="365F91"/>
      <w:kern w:val="0"/>
      <w:sz w:val="28"/>
      <w:szCs w:val="28"/>
      <w:u w:val="none"/>
      <w:lang w:eastAsia="fr-CA"/>
    </w:rPr>
  </w:style>
  <w:style w:type="paragraph" w:styleId="TM1">
    <w:name w:val="toc 1"/>
    <w:basedOn w:val="Normal"/>
    <w:next w:val="Normal"/>
    <w:autoRedefine/>
    <w:uiPriority w:val="39"/>
    <w:unhideWhenUsed/>
    <w:rsid w:val="00BA153A"/>
  </w:style>
  <w:style w:type="paragraph" w:styleId="TM2">
    <w:name w:val="toc 2"/>
    <w:basedOn w:val="Normal"/>
    <w:next w:val="Normal"/>
    <w:autoRedefine/>
    <w:uiPriority w:val="39"/>
    <w:unhideWhenUsed/>
    <w:rsid w:val="00BA153A"/>
    <w:pPr>
      <w:ind w:left="240"/>
    </w:pPr>
  </w:style>
  <w:style w:type="paragraph" w:styleId="TM3">
    <w:name w:val="toc 3"/>
    <w:basedOn w:val="Normal"/>
    <w:next w:val="Normal"/>
    <w:autoRedefine/>
    <w:uiPriority w:val="39"/>
    <w:unhideWhenUsed/>
    <w:rsid w:val="00BA153A"/>
    <w:pPr>
      <w:ind w:left="480"/>
    </w:pPr>
  </w:style>
  <w:style w:type="character" w:styleId="Hyperlien">
    <w:name w:val="Hyperlink"/>
    <w:uiPriority w:val="99"/>
    <w:unhideWhenUsed/>
    <w:rsid w:val="00BA153A"/>
    <w:rPr>
      <w:color w:val="0000FF"/>
      <w:u w:val="single"/>
      <w:lang w:val="fr-CA"/>
    </w:rPr>
  </w:style>
  <w:style w:type="paragraph" w:styleId="Explorateurdedocuments">
    <w:name w:val="Document Map"/>
    <w:basedOn w:val="Normal"/>
    <w:semiHidden/>
    <w:rsid w:val="00007687"/>
    <w:pPr>
      <w:shd w:val="clear" w:color="auto" w:fill="000080"/>
    </w:pPr>
    <w:rPr>
      <w:rFonts w:ascii="Tahoma" w:hAnsi="Tahoma" w:cs="Tahoma"/>
      <w:sz w:val="20"/>
    </w:rPr>
  </w:style>
  <w:style w:type="paragraph" w:styleId="Titre">
    <w:name w:val="Title"/>
    <w:basedOn w:val="Normal"/>
    <w:qFormat/>
    <w:rsid w:val="008A4532"/>
    <w:pPr>
      <w:spacing w:before="240" w:after="60"/>
      <w:jc w:val="center"/>
      <w:outlineLvl w:val="0"/>
    </w:pPr>
    <w:rPr>
      <w:rFonts w:cs="Arial"/>
      <w:b/>
      <w:bCs/>
      <w:kern w:val="28"/>
      <w:sz w:val="32"/>
      <w:szCs w:val="32"/>
    </w:rPr>
  </w:style>
  <w:style w:type="paragraph" w:styleId="En-tte">
    <w:name w:val="header"/>
    <w:basedOn w:val="Normal"/>
    <w:link w:val="En-tteCar"/>
    <w:uiPriority w:val="99"/>
    <w:unhideWhenUsed/>
    <w:rsid w:val="005E21E9"/>
    <w:pPr>
      <w:tabs>
        <w:tab w:val="center" w:pos="4320"/>
        <w:tab w:val="right" w:pos="8640"/>
      </w:tabs>
    </w:pPr>
  </w:style>
  <w:style w:type="character" w:customStyle="1" w:styleId="En-tteCar">
    <w:name w:val="En-tête Car"/>
    <w:basedOn w:val="Policepardfaut"/>
    <w:link w:val="En-tte"/>
    <w:uiPriority w:val="99"/>
    <w:rsid w:val="005E21E9"/>
    <w:rPr>
      <w:rFonts w:ascii="Arial" w:hAnsi="Arial"/>
      <w:sz w:val="24"/>
      <w:lang w:eastAsia="fr-FR"/>
    </w:rPr>
  </w:style>
  <w:style w:type="paragraph" w:styleId="Pieddepage">
    <w:name w:val="footer"/>
    <w:basedOn w:val="Normal"/>
    <w:link w:val="PieddepageCar"/>
    <w:uiPriority w:val="99"/>
    <w:unhideWhenUsed/>
    <w:rsid w:val="005E21E9"/>
    <w:pPr>
      <w:tabs>
        <w:tab w:val="center" w:pos="4320"/>
        <w:tab w:val="right" w:pos="8640"/>
      </w:tabs>
    </w:pPr>
  </w:style>
  <w:style w:type="character" w:customStyle="1" w:styleId="PieddepageCar">
    <w:name w:val="Pied de page Car"/>
    <w:basedOn w:val="Policepardfaut"/>
    <w:link w:val="Pieddepage"/>
    <w:uiPriority w:val="99"/>
    <w:rsid w:val="005E21E9"/>
    <w:rPr>
      <w:rFonts w:ascii="Arial" w:hAnsi="Arial"/>
      <w:sz w:val="24"/>
      <w:lang w:eastAsia="fr-FR"/>
    </w:rPr>
  </w:style>
  <w:style w:type="paragraph" w:customStyle="1" w:styleId="zsoquijdatnompartiedef0">
    <w:name w:val="zsoquijdatnompartiedef"/>
    <w:basedOn w:val="Normal"/>
    <w:rsid w:val="00CF64D4"/>
    <w:pPr>
      <w:spacing w:before="100" w:beforeAutospacing="1" w:after="100" w:afterAutospacing="1"/>
    </w:pPr>
    <w:rPr>
      <w:rFonts w:ascii="Times New Roman" w:hAnsi="Times New Roman"/>
      <w:szCs w:val="24"/>
      <w:lang w:eastAsia="fr-CA"/>
    </w:rPr>
  </w:style>
  <w:style w:type="paragraph" w:customStyle="1" w:styleId="zsoquijdatqtepartiedef0">
    <w:name w:val="zsoquijdatqtepartiedef"/>
    <w:basedOn w:val="Normal"/>
    <w:rsid w:val="00CF64D4"/>
    <w:pPr>
      <w:spacing w:before="100" w:beforeAutospacing="1" w:after="100" w:afterAutospacing="1"/>
    </w:pPr>
    <w:rPr>
      <w:rFonts w:ascii="Times New Roman" w:hAnsi="Times New Roman"/>
      <w:szCs w:val="24"/>
      <w:lang w:eastAsia="fr-CA"/>
    </w:rPr>
  </w:style>
  <w:style w:type="paragraph" w:customStyle="1" w:styleId="Paragrdouble">
    <w:name w:val="Paragr. double"/>
    <w:basedOn w:val="Normal"/>
    <w:rsid w:val="00CC41DF"/>
    <w:pPr>
      <w:tabs>
        <w:tab w:val="num" w:pos="360"/>
      </w:tabs>
      <w:spacing w:before="120" w:after="120" w:line="500" w:lineRule="exact"/>
      <w:jc w:val="both"/>
    </w:pPr>
    <w:rPr>
      <w:kern w:val="28"/>
    </w:rPr>
  </w:style>
  <w:style w:type="character" w:styleId="Appelnotedebasdep">
    <w:name w:val="footnote reference"/>
    <w:uiPriority w:val="99"/>
    <w:unhideWhenUsed/>
    <w:rsid w:val="00CC41DF"/>
    <w:rPr>
      <w:vertAlign w:val="superscript"/>
    </w:rPr>
  </w:style>
  <w:style w:type="paragraph" w:customStyle="1" w:styleId="Paragraphe">
    <w:name w:val="Paragraphe"/>
    <w:basedOn w:val="Normal"/>
    <w:rsid w:val="00CC41DF"/>
    <w:pPr>
      <w:tabs>
        <w:tab w:val="num" w:pos="360"/>
      </w:tabs>
      <w:spacing w:before="120" w:after="120" w:line="500" w:lineRule="exact"/>
      <w:jc w:val="both"/>
    </w:pPr>
    <w:rPr>
      <w:kern w:val="28"/>
    </w:rPr>
  </w:style>
  <w:style w:type="paragraph" w:customStyle="1" w:styleId="paragraphe0">
    <w:name w:val="paragraphe"/>
    <w:basedOn w:val="Normal"/>
    <w:rsid w:val="00CC41DF"/>
    <w:pPr>
      <w:spacing w:before="100" w:beforeAutospacing="1" w:after="100" w:afterAutospacing="1"/>
    </w:pPr>
    <w:rPr>
      <w:rFonts w:ascii="Times New Roman" w:hAnsi="Times New Roman"/>
      <w:szCs w:val="24"/>
      <w:lang w:eastAsia="fr-CA"/>
    </w:rPr>
  </w:style>
  <w:style w:type="character" w:styleId="Accentuation">
    <w:name w:val="Emphasis"/>
    <w:uiPriority w:val="20"/>
    <w:qFormat/>
    <w:rsid w:val="00CC41DF"/>
    <w:rPr>
      <w:i/>
      <w:iCs/>
      <w:noProof w:val="0"/>
      <w:lang w:val="fr-CA"/>
    </w:rPr>
  </w:style>
  <w:style w:type="character" w:customStyle="1" w:styleId="NotedebasdepageCar">
    <w:name w:val="Note de bas de page Car"/>
    <w:link w:val="Notedebasdepage"/>
    <w:uiPriority w:val="99"/>
    <w:rsid w:val="00CC41DF"/>
    <w:rPr>
      <w:rFonts w:ascii="Arial" w:hAnsi="Arial"/>
      <w:lang w:eastAsia="fr-FR"/>
    </w:rPr>
  </w:style>
  <w:style w:type="character" w:customStyle="1" w:styleId="label-section">
    <w:name w:val="label-section"/>
    <w:basedOn w:val="Policepardfaut"/>
    <w:rsid w:val="001E7BB1"/>
  </w:style>
  <w:style w:type="character" w:customStyle="1" w:styleId="subsection">
    <w:name w:val="subsection"/>
    <w:basedOn w:val="Policepardfaut"/>
    <w:rsid w:val="001E7BB1"/>
  </w:style>
  <w:style w:type="character" w:styleId="Mentionnonrsolue">
    <w:name w:val="Unresolved Mention"/>
    <w:basedOn w:val="Policepardfaut"/>
    <w:uiPriority w:val="99"/>
    <w:semiHidden/>
    <w:unhideWhenUsed/>
    <w:rsid w:val="001E7BB1"/>
    <w:rPr>
      <w:color w:val="605E5C"/>
      <w:shd w:val="clear" w:color="auto" w:fill="E1DFDD"/>
    </w:rPr>
  </w:style>
  <w:style w:type="paragraph" w:customStyle="1" w:styleId="citationenretrait0">
    <w:name w:val="citationenretrait"/>
    <w:basedOn w:val="Normal"/>
    <w:rsid w:val="00F74A7C"/>
    <w:pPr>
      <w:spacing w:before="100" w:beforeAutospacing="1" w:after="100" w:afterAutospacing="1"/>
    </w:pPr>
    <w:rPr>
      <w:rFonts w:ascii="Times New Roman" w:hAnsi="Times New Roman"/>
      <w:szCs w:val="24"/>
      <w:lang w:eastAsia="fr-CA"/>
    </w:rPr>
  </w:style>
  <w:style w:type="paragraph" w:styleId="Citation">
    <w:name w:val="Quote"/>
    <w:basedOn w:val="Normal"/>
    <w:next w:val="Normal"/>
    <w:link w:val="CitationCar"/>
    <w:uiPriority w:val="29"/>
    <w:qFormat/>
    <w:rsid w:val="00257FC6"/>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257FC6"/>
    <w:rPr>
      <w:rFonts w:ascii="Arial" w:hAnsi="Arial"/>
      <w:i/>
      <w:iCs/>
      <w:color w:val="404040" w:themeColor="text1" w:themeTint="BF"/>
      <w:sz w:val="24"/>
      <w:lang w:eastAsia="fr-FR"/>
    </w:rPr>
  </w:style>
  <w:style w:type="paragraph" w:customStyle="1" w:styleId="paranondepar-altn">
    <w:name w:val="paranondepar-altn"/>
    <w:basedOn w:val="Normal"/>
    <w:rsid w:val="006A7648"/>
    <w:pPr>
      <w:spacing w:before="100" w:beforeAutospacing="1" w:after="100" w:afterAutospacing="1"/>
    </w:pPr>
    <w:rPr>
      <w:rFonts w:ascii="Times New Roman" w:hAnsi="Times New Roman"/>
      <w:szCs w:val="24"/>
      <w:lang w:eastAsia="fr-CA"/>
    </w:rPr>
  </w:style>
  <w:style w:type="paragraph" w:customStyle="1" w:styleId="citation-altc">
    <w:name w:val="citation-altc"/>
    <w:basedOn w:val="Normal"/>
    <w:rsid w:val="006A7648"/>
    <w:pPr>
      <w:spacing w:before="100" w:beforeAutospacing="1" w:after="100" w:afterAutospacing="1"/>
    </w:pPr>
    <w:rPr>
      <w:rFonts w:ascii="Times New Roman" w:hAnsi="Times New Roman"/>
      <w:szCs w:val="24"/>
      <w:lang w:eastAsia="fr-CA"/>
    </w:rPr>
  </w:style>
  <w:style w:type="paragraph" w:styleId="Rvision">
    <w:name w:val="Revision"/>
    <w:hidden/>
    <w:uiPriority w:val="99"/>
    <w:semiHidden/>
    <w:rsid w:val="005D62FF"/>
    <w:rPr>
      <w:rFonts w:ascii="Arial" w:hAnsi="Arial"/>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763079">
      <w:bodyDiv w:val="1"/>
      <w:marLeft w:val="0"/>
      <w:marRight w:val="0"/>
      <w:marTop w:val="0"/>
      <w:marBottom w:val="0"/>
      <w:divBdr>
        <w:top w:val="none" w:sz="0" w:space="0" w:color="auto"/>
        <w:left w:val="none" w:sz="0" w:space="0" w:color="auto"/>
        <w:bottom w:val="none" w:sz="0" w:space="0" w:color="auto"/>
        <w:right w:val="none" w:sz="0" w:space="0" w:color="auto"/>
      </w:divBdr>
      <w:divsChild>
        <w:div w:id="2010131092">
          <w:marLeft w:val="0"/>
          <w:marRight w:val="0"/>
          <w:marTop w:val="0"/>
          <w:marBottom w:val="0"/>
          <w:divBdr>
            <w:top w:val="none" w:sz="0" w:space="0" w:color="auto"/>
            <w:left w:val="none" w:sz="0" w:space="0" w:color="auto"/>
            <w:bottom w:val="none" w:sz="0" w:space="0" w:color="auto"/>
            <w:right w:val="none" w:sz="0" w:space="0" w:color="auto"/>
          </w:divBdr>
          <w:divsChild>
            <w:div w:id="123204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39433">
      <w:bodyDiv w:val="1"/>
      <w:marLeft w:val="0"/>
      <w:marRight w:val="0"/>
      <w:marTop w:val="0"/>
      <w:marBottom w:val="0"/>
      <w:divBdr>
        <w:top w:val="none" w:sz="0" w:space="0" w:color="auto"/>
        <w:left w:val="none" w:sz="0" w:space="0" w:color="auto"/>
        <w:bottom w:val="none" w:sz="0" w:space="0" w:color="auto"/>
        <w:right w:val="none" w:sz="0" w:space="0" w:color="auto"/>
      </w:divBdr>
      <w:divsChild>
        <w:div w:id="333072076">
          <w:marLeft w:val="0"/>
          <w:marRight w:val="0"/>
          <w:marTop w:val="0"/>
          <w:marBottom w:val="0"/>
          <w:divBdr>
            <w:top w:val="none" w:sz="0" w:space="0" w:color="auto"/>
            <w:left w:val="none" w:sz="0" w:space="0" w:color="auto"/>
            <w:bottom w:val="none" w:sz="0" w:space="0" w:color="auto"/>
            <w:right w:val="none" w:sz="0" w:space="0" w:color="auto"/>
          </w:divBdr>
        </w:div>
      </w:divsChild>
    </w:div>
    <w:div w:id="424500537">
      <w:bodyDiv w:val="1"/>
      <w:marLeft w:val="0"/>
      <w:marRight w:val="0"/>
      <w:marTop w:val="0"/>
      <w:marBottom w:val="0"/>
      <w:divBdr>
        <w:top w:val="none" w:sz="0" w:space="0" w:color="auto"/>
        <w:left w:val="none" w:sz="0" w:space="0" w:color="auto"/>
        <w:bottom w:val="none" w:sz="0" w:space="0" w:color="auto"/>
        <w:right w:val="none" w:sz="0" w:space="0" w:color="auto"/>
      </w:divBdr>
      <w:divsChild>
        <w:div w:id="1330450330">
          <w:marLeft w:val="0"/>
          <w:marRight w:val="0"/>
          <w:marTop w:val="0"/>
          <w:marBottom w:val="0"/>
          <w:divBdr>
            <w:top w:val="none" w:sz="0" w:space="0" w:color="auto"/>
            <w:left w:val="none" w:sz="0" w:space="0" w:color="auto"/>
            <w:bottom w:val="none" w:sz="0" w:space="0" w:color="auto"/>
            <w:right w:val="none" w:sz="0" w:space="0" w:color="auto"/>
          </w:divBdr>
        </w:div>
      </w:divsChild>
    </w:div>
    <w:div w:id="688875764">
      <w:bodyDiv w:val="1"/>
      <w:marLeft w:val="0"/>
      <w:marRight w:val="0"/>
      <w:marTop w:val="0"/>
      <w:marBottom w:val="0"/>
      <w:divBdr>
        <w:top w:val="none" w:sz="0" w:space="0" w:color="auto"/>
        <w:left w:val="none" w:sz="0" w:space="0" w:color="auto"/>
        <w:bottom w:val="none" w:sz="0" w:space="0" w:color="auto"/>
        <w:right w:val="none" w:sz="0" w:space="0" w:color="auto"/>
      </w:divBdr>
    </w:div>
    <w:div w:id="788553096">
      <w:bodyDiv w:val="1"/>
      <w:marLeft w:val="0"/>
      <w:marRight w:val="0"/>
      <w:marTop w:val="0"/>
      <w:marBottom w:val="0"/>
      <w:divBdr>
        <w:top w:val="none" w:sz="0" w:space="0" w:color="auto"/>
        <w:left w:val="none" w:sz="0" w:space="0" w:color="auto"/>
        <w:bottom w:val="none" w:sz="0" w:space="0" w:color="auto"/>
        <w:right w:val="none" w:sz="0" w:space="0" w:color="auto"/>
      </w:divBdr>
      <w:divsChild>
        <w:div w:id="944460587">
          <w:marLeft w:val="0"/>
          <w:marRight w:val="0"/>
          <w:marTop w:val="0"/>
          <w:marBottom w:val="0"/>
          <w:divBdr>
            <w:top w:val="none" w:sz="0" w:space="0" w:color="auto"/>
            <w:left w:val="none" w:sz="0" w:space="0" w:color="auto"/>
            <w:bottom w:val="none" w:sz="0" w:space="0" w:color="auto"/>
            <w:right w:val="none" w:sz="0" w:space="0" w:color="auto"/>
          </w:divBdr>
        </w:div>
      </w:divsChild>
    </w:div>
    <w:div w:id="797138424">
      <w:bodyDiv w:val="1"/>
      <w:marLeft w:val="0"/>
      <w:marRight w:val="0"/>
      <w:marTop w:val="0"/>
      <w:marBottom w:val="0"/>
      <w:divBdr>
        <w:top w:val="none" w:sz="0" w:space="0" w:color="auto"/>
        <w:left w:val="none" w:sz="0" w:space="0" w:color="auto"/>
        <w:bottom w:val="none" w:sz="0" w:space="0" w:color="auto"/>
        <w:right w:val="none" w:sz="0" w:space="0" w:color="auto"/>
      </w:divBdr>
      <w:divsChild>
        <w:div w:id="1653024432">
          <w:marLeft w:val="0"/>
          <w:marRight w:val="0"/>
          <w:marTop w:val="0"/>
          <w:marBottom w:val="0"/>
          <w:divBdr>
            <w:top w:val="none" w:sz="0" w:space="0" w:color="auto"/>
            <w:left w:val="none" w:sz="0" w:space="0" w:color="auto"/>
            <w:bottom w:val="none" w:sz="0" w:space="0" w:color="auto"/>
            <w:right w:val="none" w:sz="0" w:space="0" w:color="auto"/>
          </w:divBdr>
        </w:div>
      </w:divsChild>
    </w:div>
    <w:div w:id="870606449">
      <w:bodyDiv w:val="1"/>
      <w:marLeft w:val="0"/>
      <w:marRight w:val="0"/>
      <w:marTop w:val="0"/>
      <w:marBottom w:val="0"/>
      <w:divBdr>
        <w:top w:val="none" w:sz="0" w:space="0" w:color="auto"/>
        <w:left w:val="none" w:sz="0" w:space="0" w:color="auto"/>
        <w:bottom w:val="none" w:sz="0" w:space="0" w:color="auto"/>
        <w:right w:val="none" w:sz="0" w:space="0" w:color="auto"/>
      </w:divBdr>
      <w:divsChild>
        <w:div w:id="1556314759">
          <w:marLeft w:val="0"/>
          <w:marRight w:val="0"/>
          <w:marTop w:val="0"/>
          <w:marBottom w:val="0"/>
          <w:divBdr>
            <w:top w:val="none" w:sz="0" w:space="0" w:color="auto"/>
            <w:left w:val="none" w:sz="0" w:space="0" w:color="auto"/>
            <w:bottom w:val="none" w:sz="0" w:space="0" w:color="auto"/>
            <w:right w:val="none" w:sz="0" w:space="0" w:color="auto"/>
          </w:divBdr>
        </w:div>
      </w:divsChild>
    </w:div>
    <w:div w:id="950017761">
      <w:bodyDiv w:val="1"/>
      <w:marLeft w:val="0"/>
      <w:marRight w:val="0"/>
      <w:marTop w:val="0"/>
      <w:marBottom w:val="0"/>
      <w:divBdr>
        <w:top w:val="none" w:sz="0" w:space="0" w:color="auto"/>
        <w:left w:val="none" w:sz="0" w:space="0" w:color="auto"/>
        <w:bottom w:val="none" w:sz="0" w:space="0" w:color="auto"/>
        <w:right w:val="none" w:sz="0" w:space="0" w:color="auto"/>
      </w:divBdr>
      <w:divsChild>
        <w:div w:id="1512333147">
          <w:marLeft w:val="0"/>
          <w:marRight w:val="0"/>
          <w:marTop w:val="0"/>
          <w:marBottom w:val="0"/>
          <w:divBdr>
            <w:top w:val="none" w:sz="0" w:space="0" w:color="auto"/>
            <w:left w:val="none" w:sz="0" w:space="0" w:color="auto"/>
            <w:bottom w:val="none" w:sz="0" w:space="0" w:color="auto"/>
            <w:right w:val="none" w:sz="0" w:space="0" w:color="auto"/>
          </w:divBdr>
        </w:div>
      </w:divsChild>
    </w:div>
    <w:div w:id="1405026748">
      <w:bodyDiv w:val="1"/>
      <w:marLeft w:val="0"/>
      <w:marRight w:val="0"/>
      <w:marTop w:val="0"/>
      <w:marBottom w:val="0"/>
      <w:divBdr>
        <w:top w:val="none" w:sz="0" w:space="0" w:color="auto"/>
        <w:left w:val="none" w:sz="0" w:space="0" w:color="auto"/>
        <w:bottom w:val="none" w:sz="0" w:space="0" w:color="auto"/>
        <w:right w:val="none" w:sz="0" w:space="0" w:color="auto"/>
      </w:divBdr>
      <w:divsChild>
        <w:div w:id="1074665993">
          <w:marLeft w:val="0"/>
          <w:marRight w:val="0"/>
          <w:marTop w:val="0"/>
          <w:marBottom w:val="0"/>
          <w:divBdr>
            <w:top w:val="none" w:sz="0" w:space="0" w:color="auto"/>
            <w:left w:val="none" w:sz="0" w:space="0" w:color="auto"/>
            <w:bottom w:val="none" w:sz="0" w:space="0" w:color="auto"/>
            <w:right w:val="none" w:sz="0" w:space="0" w:color="auto"/>
          </w:divBdr>
        </w:div>
      </w:divsChild>
    </w:div>
    <w:div w:id="1518497078">
      <w:bodyDiv w:val="1"/>
      <w:marLeft w:val="0"/>
      <w:marRight w:val="0"/>
      <w:marTop w:val="0"/>
      <w:marBottom w:val="0"/>
      <w:divBdr>
        <w:top w:val="none" w:sz="0" w:space="0" w:color="auto"/>
        <w:left w:val="none" w:sz="0" w:space="0" w:color="auto"/>
        <w:bottom w:val="none" w:sz="0" w:space="0" w:color="auto"/>
        <w:right w:val="none" w:sz="0" w:space="0" w:color="auto"/>
      </w:divBdr>
      <w:divsChild>
        <w:div w:id="1624994383">
          <w:marLeft w:val="0"/>
          <w:marRight w:val="0"/>
          <w:marTop w:val="0"/>
          <w:marBottom w:val="0"/>
          <w:divBdr>
            <w:top w:val="none" w:sz="0" w:space="0" w:color="auto"/>
            <w:left w:val="none" w:sz="0" w:space="0" w:color="auto"/>
            <w:bottom w:val="none" w:sz="0" w:space="0" w:color="auto"/>
            <w:right w:val="none" w:sz="0" w:space="0" w:color="auto"/>
          </w:divBdr>
          <w:divsChild>
            <w:div w:id="28280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41983">
      <w:bodyDiv w:val="1"/>
      <w:marLeft w:val="0"/>
      <w:marRight w:val="0"/>
      <w:marTop w:val="0"/>
      <w:marBottom w:val="0"/>
      <w:divBdr>
        <w:top w:val="none" w:sz="0" w:space="0" w:color="auto"/>
        <w:left w:val="none" w:sz="0" w:space="0" w:color="auto"/>
        <w:bottom w:val="none" w:sz="0" w:space="0" w:color="auto"/>
        <w:right w:val="none" w:sz="0" w:space="0" w:color="auto"/>
      </w:divBdr>
      <w:divsChild>
        <w:div w:id="1395086598">
          <w:marLeft w:val="0"/>
          <w:marRight w:val="0"/>
          <w:marTop w:val="0"/>
          <w:marBottom w:val="0"/>
          <w:divBdr>
            <w:top w:val="none" w:sz="0" w:space="0" w:color="auto"/>
            <w:left w:val="none" w:sz="0" w:space="0" w:color="auto"/>
            <w:bottom w:val="none" w:sz="0" w:space="0" w:color="auto"/>
            <w:right w:val="none" w:sz="0" w:space="0" w:color="auto"/>
          </w:divBdr>
        </w:div>
      </w:divsChild>
    </w:div>
    <w:div w:id="1671642278">
      <w:bodyDiv w:val="1"/>
      <w:marLeft w:val="0"/>
      <w:marRight w:val="0"/>
      <w:marTop w:val="0"/>
      <w:marBottom w:val="0"/>
      <w:divBdr>
        <w:top w:val="none" w:sz="0" w:space="0" w:color="auto"/>
        <w:left w:val="none" w:sz="0" w:space="0" w:color="auto"/>
        <w:bottom w:val="none" w:sz="0" w:space="0" w:color="auto"/>
        <w:right w:val="none" w:sz="0" w:space="0" w:color="auto"/>
      </w:divBdr>
      <w:divsChild>
        <w:div w:id="1291982989">
          <w:marLeft w:val="0"/>
          <w:marRight w:val="0"/>
          <w:marTop w:val="0"/>
          <w:marBottom w:val="0"/>
          <w:divBdr>
            <w:top w:val="none" w:sz="0" w:space="0" w:color="auto"/>
            <w:left w:val="none" w:sz="0" w:space="0" w:color="auto"/>
            <w:bottom w:val="none" w:sz="0" w:space="0" w:color="auto"/>
            <w:right w:val="none" w:sz="0" w:space="0" w:color="auto"/>
          </w:divBdr>
          <w:divsChild>
            <w:div w:id="18921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quebec.gouv.qc.ca/fr/document/lc/A-23.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quebec.gouv.qc.ca/fr/document/lc/C-52.1?&amp;cibl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quebec.gouv.qc.ca/fr/document/lc/A-23.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weri.lexum.com/w/calegis/annexe-b-de-la-loi-de-1982-sur-le-canada-r-u-1982-c-11-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SCSLI\Documents\Mod&#232;les%20Office%20personnalis&#233;s\CSFraS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eur_x0020_du_x0020_document xmlns="ddd9db8a-241d-4149-a0d3-7618663a9260" xsi:nil="true"/>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7318432890B74C8D8BC34B5353B372" ma:contentTypeVersion="2" ma:contentTypeDescription="Crée un document." ma:contentTypeScope="" ma:versionID="6e0052a9091211f73c24cc39bc861b60">
  <xsd:schema xmlns:xsd="http://www.w3.org/2001/XMLSchema" xmlns:xs="http://www.w3.org/2001/XMLSchema" xmlns:p="http://schemas.microsoft.com/office/2006/metadata/properties" xmlns:ns1="http://schemas.microsoft.com/sharepoint/v3" xmlns:ns2="ddd9db8a-241d-4149-a0d3-7618663a9260" targetNamespace="http://schemas.microsoft.com/office/2006/metadata/properties" ma:root="true" ma:fieldsID="52b8b4e4f19fd2fbc811c37b64dbca3c" ns1:_="" ns2:_="">
    <xsd:import namespace="http://schemas.microsoft.com/sharepoint/v3"/>
    <xsd:import namespace="ddd9db8a-241d-4149-a0d3-7618663a9260"/>
    <xsd:element name="properties">
      <xsd:complexType>
        <xsd:sequence>
          <xsd:element name="documentManagement">
            <xsd:complexType>
              <xsd:all>
                <xsd:element ref="ns1:PublishingStartDate" minOccurs="0"/>
                <xsd:element ref="ns1:PublishingExpirationDate" minOccurs="0"/>
                <xsd:element ref="ns2:Auteur_x0020_du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internalName="PublishingStartDate">
      <xsd:simpleType>
        <xsd:restriction base="dms:Unknown"/>
      </xsd:simpleType>
    </xsd:element>
    <xsd:element name="PublishingExpirationDate" ma:index="9" nillable="true" ma:displayName="Date de fin de planifica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d9db8a-241d-4149-a0d3-7618663a9260" elementFormDefault="qualified">
    <xsd:import namespace="http://schemas.microsoft.com/office/2006/documentManagement/types"/>
    <xsd:import namespace="http://schemas.microsoft.com/office/infopath/2007/PartnerControls"/>
    <xsd:element name="Auteur_x0020_du_x0020_document" ma:index="10" nillable="true" ma:displayName="Auteur du document" ma:description="Auteur principal" ma:internalName="Auteur_x0020_du_x0020_docu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D3F2B-15EA-492A-8B48-2CF10FE3B1AB}">
  <ds:schemaRefs>
    <ds:schemaRef ds:uri="http://schemas.microsoft.com/sharepoint/v3/contenttype/forms"/>
  </ds:schemaRefs>
</ds:datastoreItem>
</file>

<file path=customXml/itemProps2.xml><?xml version="1.0" encoding="utf-8"?>
<ds:datastoreItem xmlns:ds="http://schemas.openxmlformats.org/officeDocument/2006/customXml" ds:itemID="{124B1385-B317-4A73-AB5B-447180BDB870}">
  <ds:schemaRefs>
    <ds:schemaRef ds:uri="http://schemas.microsoft.com/office/2006/metadata/properties"/>
    <ds:schemaRef ds:uri="http://schemas.microsoft.com/office/infopath/2007/PartnerControls"/>
    <ds:schemaRef ds:uri="ddd9db8a-241d-4149-a0d3-7618663a9260"/>
    <ds:schemaRef ds:uri="http://schemas.microsoft.com/sharepoint/v3"/>
  </ds:schemaRefs>
</ds:datastoreItem>
</file>

<file path=customXml/itemProps3.xml><?xml version="1.0" encoding="utf-8"?>
<ds:datastoreItem xmlns:ds="http://schemas.openxmlformats.org/officeDocument/2006/customXml" ds:itemID="{51F4E240-6A02-493F-8D89-A82951F186DD}">
  <ds:schemaRefs>
    <ds:schemaRef ds:uri="http://schemas.openxmlformats.org/officeDocument/2006/bibliography"/>
  </ds:schemaRefs>
</ds:datastoreItem>
</file>

<file path=customXml/itemProps4.xml><?xml version="1.0" encoding="utf-8"?>
<ds:datastoreItem xmlns:ds="http://schemas.openxmlformats.org/officeDocument/2006/customXml" ds:itemID="{2C02BE72-5CAA-4D62-A721-D6FB07247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d9db8a-241d-4149-a0d3-7618663a92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CSFraS1.dotx</Template>
  <TotalTime>71</TotalTime>
  <Pages>11</Pages>
  <Words>3833</Words>
  <Characters>21087</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Gabarit EDJ</vt:lpstr>
    </vt:vector>
  </TitlesOfParts>
  <Manager>Stéphane Renauld</Manager>
  <Company>SOQUIJ</Company>
  <LinksUpToDate>false</LinksUpToDate>
  <CharactersWithSpaces>24871</CharactersWithSpaces>
  <SharedDoc>false</SharedDoc>
  <HLinks>
    <vt:vector size="42" baseType="variant">
      <vt:variant>
        <vt:i4>1835061</vt:i4>
      </vt:variant>
      <vt:variant>
        <vt:i4>89</vt:i4>
      </vt:variant>
      <vt:variant>
        <vt:i4>0</vt:i4>
      </vt:variant>
      <vt:variant>
        <vt:i4>5</vt:i4>
      </vt:variant>
      <vt:variant>
        <vt:lpwstr/>
      </vt:variant>
      <vt:variant>
        <vt:lpwstr>_Toc430945549</vt:lpwstr>
      </vt:variant>
      <vt:variant>
        <vt:i4>1835061</vt:i4>
      </vt:variant>
      <vt:variant>
        <vt:i4>83</vt:i4>
      </vt:variant>
      <vt:variant>
        <vt:i4>0</vt:i4>
      </vt:variant>
      <vt:variant>
        <vt:i4>5</vt:i4>
      </vt:variant>
      <vt:variant>
        <vt:lpwstr/>
      </vt:variant>
      <vt:variant>
        <vt:lpwstr>_Toc430945548</vt:lpwstr>
      </vt:variant>
      <vt:variant>
        <vt:i4>1835061</vt:i4>
      </vt:variant>
      <vt:variant>
        <vt:i4>77</vt:i4>
      </vt:variant>
      <vt:variant>
        <vt:i4>0</vt:i4>
      </vt:variant>
      <vt:variant>
        <vt:i4>5</vt:i4>
      </vt:variant>
      <vt:variant>
        <vt:lpwstr/>
      </vt:variant>
      <vt:variant>
        <vt:lpwstr>_Toc430945547</vt:lpwstr>
      </vt:variant>
      <vt:variant>
        <vt:i4>1835061</vt:i4>
      </vt:variant>
      <vt:variant>
        <vt:i4>71</vt:i4>
      </vt:variant>
      <vt:variant>
        <vt:i4>0</vt:i4>
      </vt:variant>
      <vt:variant>
        <vt:i4>5</vt:i4>
      </vt:variant>
      <vt:variant>
        <vt:lpwstr/>
      </vt:variant>
      <vt:variant>
        <vt:lpwstr>_Toc430945546</vt:lpwstr>
      </vt:variant>
      <vt:variant>
        <vt:i4>1835061</vt:i4>
      </vt:variant>
      <vt:variant>
        <vt:i4>65</vt:i4>
      </vt:variant>
      <vt:variant>
        <vt:i4>0</vt:i4>
      </vt:variant>
      <vt:variant>
        <vt:i4>5</vt:i4>
      </vt:variant>
      <vt:variant>
        <vt:lpwstr/>
      </vt:variant>
      <vt:variant>
        <vt:lpwstr>_Toc430945545</vt:lpwstr>
      </vt:variant>
      <vt:variant>
        <vt:i4>1835061</vt:i4>
      </vt:variant>
      <vt:variant>
        <vt:i4>59</vt:i4>
      </vt:variant>
      <vt:variant>
        <vt:i4>0</vt:i4>
      </vt:variant>
      <vt:variant>
        <vt:i4>5</vt:i4>
      </vt:variant>
      <vt:variant>
        <vt:lpwstr/>
      </vt:variant>
      <vt:variant>
        <vt:lpwstr>_Toc430945544</vt:lpwstr>
      </vt:variant>
      <vt:variant>
        <vt:i4>1835061</vt:i4>
      </vt:variant>
      <vt:variant>
        <vt:i4>53</vt:i4>
      </vt:variant>
      <vt:variant>
        <vt:i4>0</vt:i4>
      </vt:variant>
      <vt:variant>
        <vt:i4>5</vt:i4>
      </vt:variant>
      <vt:variant>
        <vt:lpwstr/>
      </vt:variant>
      <vt:variant>
        <vt:lpwstr>_Toc430945543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EDJ</dc:title>
  <dc:subject/>
  <dc:creator>Monica Ruscitti</dc:creator>
  <cp:keywords/>
  <cp:lastModifiedBy>Deschênes, Gabrielle</cp:lastModifiedBy>
  <cp:revision>9</cp:revision>
  <cp:lastPrinted>2026-09-01T18:40:00Z</cp:lastPrinted>
  <dcterms:created xsi:type="dcterms:W3CDTF">2026-07-30T12:34:00Z</dcterms:created>
  <dcterms:modified xsi:type="dcterms:W3CDTF">2026-09-02T15:35:00Z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quij_DateModification">
    <vt:lpwstr>12/06/2014</vt:lpwstr>
  </property>
  <property fmtid="{D5CDD505-2E9C-101B-9397-08002B2CF9AE}" pid="3" name="Soquij_Version">
    <vt:lpwstr>1.7</vt:lpwstr>
  </property>
  <property fmtid="{D5CDD505-2E9C-101B-9397-08002B2CF9AE}" pid="4" name="Soquij_ModifiePar">
    <vt:lpwstr>carjoh</vt:lpwstr>
  </property>
  <property fmtid="{D5CDD505-2E9C-101B-9397-08002B2CF9AE}" pid="5" name="Soquij_Modele">
    <vt:lpwstr>edj</vt:lpwstr>
  </property>
  <property fmtid="{D5CDD505-2E9C-101B-9397-08002B2CF9AE}" pid="6" name="Soquij_Cour">
    <vt:lpwstr>CS</vt:lpwstr>
  </property>
  <property fmtid="{D5CDD505-2E9C-101B-9397-08002B2CF9AE}" pid="7" name="Soquij_Langue">
    <vt:lpwstr>Fra</vt:lpwstr>
  </property>
  <property fmtid="{D5CDD505-2E9C-101B-9397-08002B2CF9AE}" pid="8" name="ContentTypeId">
    <vt:lpwstr>0x010100777318432890B74C8D8BC34B5353B372</vt:lpwstr>
  </property>
  <property fmtid="{D5CDD505-2E9C-101B-9397-08002B2CF9AE}" pid="9" name="GrammarlyDocumentId">
    <vt:lpwstr>ba583bfac94d5abda7abdb8d5005d500de7d7acc2db34b8871e71a9f62c54118</vt:lpwstr>
  </property>
</Properties>
</file>