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000" w:firstRow="0" w:lastRow="0" w:firstColumn="0" w:lastColumn="0" w:noHBand="0" w:noVBand="0"/>
      </w:tblPr>
      <w:tblGrid>
        <w:gridCol w:w="1030"/>
        <w:gridCol w:w="246"/>
        <w:gridCol w:w="344"/>
        <w:gridCol w:w="2350"/>
        <w:gridCol w:w="3402"/>
        <w:gridCol w:w="1988"/>
      </w:tblGrid>
      <w:tr w:rsidR="008F364A" w14:paraId="584488D5" w14:textId="77777777" w:rsidTr="008D18FC">
        <w:trPr>
          <w:trHeight w:val="248"/>
        </w:trPr>
        <w:tc>
          <w:tcPr>
            <w:tcW w:w="7372" w:type="dxa"/>
            <w:gridSpan w:val="5"/>
          </w:tcPr>
          <w:p w14:paraId="435CB4C3" w14:textId="37167FE4" w:rsidR="008F364A" w:rsidRPr="00AA0202" w:rsidRDefault="00AA0202" w:rsidP="00AA0202">
            <w:pPr>
              <w:pStyle w:val="zSoquijdatRepertorie"/>
              <w:rPr>
                <w:rFonts w:cs="Arial"/>
              </w:rPr>
            </w:pPr>
            <w:r>
              <w:rPr>
                <w:rFonts w:cs="Arial"/>
              </w:rPr>
              <w:t>Ville de Montréal c. EBC inc.</w:t>
            </w:r>
          </w:p>
        </w:tc>
        <w:tc>
          <w:tcPr>
            <w:tcW w:w="1988" w:type="dxa"/>
          </w:tcPr>
          <w:p w14:paraId="568F733B" w14:textId="7B530D3C" w:rsidR="008F364A" w:rsidRPr="004D7BB2" w:rsidRDefault="004D7BB2" w:rsidP="004D7BB2">
            <w:pPr>
              <w:pStyle w:val="zSoquijdatRefNeutre"/>
              <w:jc w:val="right"/>
              <w:rPr>
                <w:rFonts w:cs="Arial"/>
              </w:rPr>
            </w:pPr>
            <w:r w:rsidRPr="004D7BB2">
              <w:rPr>
                <w:rFonts w:cs="Arial"/>
              </w:rPr>
              <w:t>2026 QCCA 733</w:t>
            </w:r>
          </w:p>
        </w:tc>
      </w:tr>
      <w:tr w:rsidR="008F364A" w:rsidRPr="0089517D" w14:paraId="7D6613AB" w14:textId="77777777" w:rsidTr="008D18FC">
        <w:trPr>
          <w:trHeight w:val="247"/>
        </w:trPr>
        <w:tc>
          <w:tcPr>
            <w:tcW w:w="9360" w:type="dxa"/>
            <w:gridSpan w:val="6"/>
          </w:tcPr>
          <w:p w14:paraId="58422A85" w14:textId="77777777" w:rsidR="008F364A" w:rsidRPr="0089517D" w:rsidRDefault="00740A17">
            <w:pPr>
              <w:pStyle w:val="zSoquijlblCour"/>
            </w:pPr>
            <w:r w:rsidRPr="0089517D">
              <w:t>COUR D’APPEL</w:t>
            </w:r>
          </w:p>
        </w:tc>
      </w:tr>
      <w:tr w:rsidR="008F364A" w:rsidRPr="0089517D" w14:paraId="31389678" w14:textId="77777777" w:rsidTr="008D18FC">
        <w:trPr>
          <w:trHeight w:val="540"/>
        </w:trPr>
        <w:tc>
          <w:tcPr>
            <w:tcW w:w="9360" w:type="dxa"/>
            <w:gridSpan w:val="6"/>
          </w:tcPr>
          <w:p w14:paraId="500D81C7" w14:textId="77777777" w:rsidR="008F364A" w:rsidRPr="0089517D" w:rsidRDefault="008F364A">
            <w:pPr>
              <w:pStyle w:val="zSoquijdatDivision"/>
            </w:pPr>
          </w:p>
        </w:tc>
      </w:tr>
      <w:tr w:rsidR="008F364A" w:rsidRPr="0089517D" w14:paraId="5FC9F31B" w14:textId="77777777" w:rsidTr="008D18FC">
        <w:tc>
          <w:tcPr>
            <w:tcW w:w="9360" w:type="dxa"/>
            <w:gridSpan w:val="6"/>
          </w:tcPr>
          <w:p w14:paraId="62F15800" w14:textId="77777777" w:rsidR="008F364A" w:rsidRPr="0089517D" w:rsidRDefault="00740A17">
            <w:pPr>
              <w:pStyle w:val="zSoquijlblPays"/>
            </w:pPr>
            <w:r w:rsidRPr="0089517D">
              <w:t>CANADA</w:t>
            </w:r>
          </w:p>
        </w:tc>
      </w:tr>
      <w:tr w:rsidR="008F364A" w:rsidRPr="0089517D" w14:paraId="0FBEB124" w14:textId="77777777" w:rsidTr="008D18FC">
        <w:tc>
          <w:tcPr>
            <w:tcW w:w="9360" w:type="dxa"/>
            <w:gridSpan w:val="6"/>
          </w:tcPr>
          <w:p w14:paraId="61803D5B" w14:textId="77777777" w:rsidR="008F364A" w:rsidRPr="0089517D" w:rsidRDefault="00740A17">
            <w:pPr>
              <w:pStyle w:val="zSoquijlblProvince"/>
            </w:pPr>
            <w:r w:rsidRPr="0089517D">
              <w:t>PROVINCE DE QUÉBEC</w:t>
            </w:r>
          </w:p>
        </w:tc>
      </w:tr>
      <w:tr w:rsidR="008F364A" w:rsidRPr="0089517D" w14:paraId="51B77AD2" w14:textId="77777777" w:rsidTr="00AE1B6D">
        <w:tc>
          <w:tcPr>
            <w:tcW w:w="1276" w:type="dxa"/>
            <w:gridSpan w:val="2"/>
          </w:tcPr>
          <w:p w14:paraId="219E66D4" w14:textId="77777777" w:rsidR="008F364A" w:rsidRPr="0089517D" w:rsidRDefault="008E5E9D">
            <w:pPr>
              <w:pStyle w:val="zSoquijlblGreffe"/>
            </w:pPr>
            <w:r w:rsidRPr="0089517D">
              <w:t>SIÈGE</w:t>
            </w:r>
            <w:r w:rsidR="00740A17" w:rsidRPr="0089517D">
              <w:t xml:space="preserve"> DE</w:t>
            </w:r>
          </w:p>
          <w:p w14:paraId="54DBA80F" w14:textId="77777777" w:rsidR="008F364A" w:rsidRPr="0089517D" w:rsidRDefault="008F364A">
            <w:pPr>
              <w:pStyle w:val="zSoquijlblGreffe"/>
            </w:pPr>
          </w:p>
        </w:tc>
        <w:tc>
          <w:tcPr>
            <w:tcW w:w="8084" w:type="dxa"/>
            <w:gridSpan w:val="4"/>
          </w:tcPr>
          <w:p w14:paraId="09CB2783" w14:textId="4F8CED5C" w:rsidR="008F364A" w:rsidRPr="0089517D" w:rsidRDefault="004566AB" w:rsidP="00AE1B6D">
            <w:pPr>
              <w:pStyle w:val="zSoquijdatGreffe"/>
              <w:ind w:left="-22"/>
            </w:pPr>
            <w:bookmarkStart w:id="0" w:name="NomGreffe"/>
            <w:r w:rsidRPr="0089517D">
              <w:t>MONTRÉAL</w:t>
            </w:r>
            <w:bookmarkEnd w:id="0"/>
          </w:p>
        </w:tc>
      </w:tr>
      <w:tr w:rsidR="008F364A" w:rsidRPr="0089517D" w14:paraId="3DF515BD" w14:textId="77777777" w:rsidTr="008D18FC">
        <w:tc>
          <w:tcPr>
            <w:tcW w:w="1030" w:type="dxa"/>
          </w:tcPr>
          <w:p w14:paraId="06EFA6E7" w14:textId="77777777" w:rsidR="008F364A" w:rsidRPr="0089517D" w:rsidRDefault="00740A17">
            <w:pPr>
              <w:pStyle w:val="zSoquijlblNoDossier"/>
            </w:pPr>
            <w:r w:rsidRPr="0089517D">
              <w:t>N° :</w:t>
            </w:r>
          </w:p>
        </w:tc>
        <w:tc>
          <w:tcPr>
            <w:tcW w:w="8330" w:type="dxa"/>
            <w:gridSpan w:val="5"/>
          </w:tcPr>
          <w:p w14:paraId="32E2B2E0" w14:textId="3A7B74B0" w:rsidR="008F364A" w:rsidRPr="0089517D" w:rsidRDefault="004566AB">
            <w:pPr>
              <w:pStyle w:val="zSoquijdatNoDossier"/>
            </w:pPr>
            <w:bookmarkStart w:id="1" w:name="NoDossier"/>
            <w:r w:rsidRPr="0089517D">
              <w:t>500-09-031435-258</w:t>
            </w:r>
            <w:bookmarkEnd w:id="1"/>
          </w:p>
        </w:tc>
      </w:tr>
      <w:tr w:rsidR="004566AB" w:rsidRPr="0089517D" w14:paraId="6EBA5E69" w14:textId="77777777" w:rsidTr="008D18FC">
        <w:tc>
          <w:tcPr>
            <w:tcW w:w="9360" w:type="dxa"/>
            <w:gridSpan w:val="6"/>
          </w:tcPr>
          <w:p w14:paraId="0903B819" w14:textId="7EC4DF59" w:rsidR="004566AB" w:rsidRPr="0089517D" w:rsidRDefault="004566AB" w:rsidP="004566AB">
            <w:pPr>
              <w:pStyle w:val="zSoquijdatNoDossierAnt"/>
            </w:pPr>
            <w:r w:rsidRPr="0089517D">
              <w:t>(500-17-131965-249)</w:t>
            </w:r>
          </w:p>
        </w:tc>
      </w:tr>
      <w:tr w:rsidR="008F364A" w:rsidRPr="0089517D" w14:paraId="56E1B54A" w14:textId="77777777" w:rsidTr="008D18FC">
        <w:tc>
          <w:tcPr>
            <w:tcW w:w="9360" w:type="dxa"/>
            <w:gridSpan w:val="6"/>
          </w:tcPr>
          <w:p w14:paraId="7E4FCFBE" w14:textId="77777777" w:rsidR="008F364A" w:rsidRPr="0089517D" w:rsidRDefault="008F364A"/>
        </w:tc>
      </w:tr>
      <w:tr w:rsidR="008F364A" w:rsidRPr="0089517D" w14:paraId="1202D145" w14:textId="77777777" w:rsidTr="009673BB">
        <w:trPr>
          <w:trHeight w:val="149"/>
        </w:trPr>
        <w:tc>
          <w:tcPr>
            <w:tcW w:w="1030" w:type="dxa"/>
          </w:tcPr>
          <w:p w14:paraId="2BF4CF18" w14:textId="77777777" w:rsidR="008F364A" w:rsidRPr="0089517D" w:rsidRDefault="00740A17">
            <w:pPr>
              <w:pStyle w:val="zSoquijlblDateJugement"/>
            </w:pPr>
            <w:r w:rsidRPr="0089517D">
              <w:t>DATE :</w:t>
            </w:r>
          </w:p>
        </w:tc>
        <w:tc>
          <w:tcPr>
            <w:tcW w:w="8330" w:type="dxa"/>
            <w:gridSpan w:val="5"/>
          </w:tcPr>
          <w:p w14:paraId="69B9A52E" w14:textId="7009DC43" w:rsidR="008F364A" w:rsidRPr="00313611" w:rsidRDefault="00313611">
            <w:pPr>
              <w:pStyle w:val="zSoquijdatDateJugement"/>
            </w:pPr>
            <w:r w:rsidRPr="00313611">
              <w:t>2 juin 2026</w:t>
            </w:r>
          </w:p>
        </w:tc>
      </w:tr>
      <w:tr w:rsidR="008F364A" w:rsidRPr="0089517D" w14:paraId="08849E62" w14:textId="77777777" w:rsidTr="008D18FC">
        <w:tc>
          <w:tcPr>
            <w:tcW w:w="9360" w:type="dxa"/>
            <w:gridSpan w:val="6"/>
            <w:tcBorders>
              <w:bottom w:val="single" w:sz="8" w:space="0" w:color="auto"/>
            </w:tcBorders>
          </w:tcPr>
          <w:p w14:paraId="11230BB3" w14:textId="77777777" w:rsidR="008F364A" w:rsidRPr="0089517D" w:rsidRDefault="008F364A"/>
        </w:tc>
      </w:tr>
      <w:tr w:rsidR="008F364A" w:rsidRPr="0089517D" w14:paraId="0001EFDD" w14:textId="77777777" w:rsidTr="008D18FC">
        <w:tc>
          <w:tcPr>
            <w:tcW w:w="9360" w:type="dxa"/>
            <w:gridSpan w:val="6"/>
            <w:tcBorders>
              <w:top w:val="single" w:sz="8" w:space="0" w:color="auto"/>
            </w:tcBorders>
          </w:tcPr>
          <w:p w14:paraId="62BCCC99" w14:textId="77777777" w:rsidR="008F364A" w:rsidRPr="0089517D" w:rsidRDefault="008F364A"/>
        </w:tc>
      </w:tr>
      <w:tr w:rsidR="008F364A" w:rsidRPr="0089517D" w14:paraId="2576211C" w14:textId="77777777" w:rsidTr="008D18FC">
        <w:tc>
          <w:tcPr>
            <w:tcW w:w="1620" w:type="dxa"/>
            <w:gridSpan w:val="3"/>
          </w:tcPr>
          <w:p w14:paraId="655BA270" w14:textId="77777777" w:rsidR="008F364A" w:rsidRPr="0089517D" w:rsidRDefault="00B70485" w:rsidP="00423DF1">
            <w:pPr>
              <w:pStyle w:val="zSoquijlblJuge"/>
              <w:ind w:right="-142"/>
            </w:pPr>
            <w:bookmarkStart w:id="2" w:name="FORMATION"/>
            <w:r w:rsidRPr="0089517D">
              <w:t>FORMATION</w:t>
            </w:r>
            <w:r w:rsidR="00B513C9" w:rsidRPr="0089517D">
              <w:t> </w:t>
            </w:r>
            <w:r w:rsidR="00740A17" w:rsidRPr="0089517D">
              <w:t>:</w:t>
            </w:r>
            <w:bookmarkEnd w:id="2"/>
          </w:p>
        </w:tc>
        <w:tc>
          <w:tcPr>
            <w:tcW w:w="2350" w:type="dxa"/>
          </w:tcPr>
          <w:p w14:paraId="07738287" w14:textId="77777777" w:rsidR="008F364A" w:rsidRPr="0089517D" w:rsidRDefault="00740A17">
            <w:pPr>
              <w:pStyle w:val="zSoquijdatQteJuge"/>
            </w:pPr>
            <w:bookmarkStart w:id="3" w:name="Honorables"/>
            <w:r w:rsidRPr="0089517D">
              <w:t>LES HONORABLES</w:t>
            </w:r>
            <w:bookmarkEnd w:id="3"/>
          </w:p>
        </w:tc>
        <w:tc>
          <w:tcPr>
            <w:tcW w:w="5390" w:type="dxa"/>
            <w:gridSpan w:val="2"/>
          </w:tcPr>
          <w:p w14:paraId="75631C3A" w14:textId="506D42C2" w:rsidR="008F364A" w:rsidRPr="0089517D" w:rsidRDefault="004566AB">
            <w:pPr>
              <w:pStyle w:val="zSoquijdatJuge"/>
              <w:rPr>
                <w:lang w:val="en-CA"/>
              </w:rPr>
            </w:pPr>
            <w:bookmarkStart w:id="4" w:name="NomJuge1"/>
            <w:r w:rsidRPr="0089517D">
              <w:rPr>
                <w:lang w:val="en-CA"/>
              </w:rPr>
              <w:t>MARK SCHRAGER, J.C.A.</w:t>
            </w:r>
            <w:bookmarkEnd w:id="4"/>
          </w:p>
          <w:p w14:paraId="763EDD32" w14:textId="401DC041" w:rsidR="008F364A" w:rsidRPr="0089517D" w:rsidRDefault="004566AB">
            <w:pPr>
              <w:pStyle w:val="zSoquijdatJuge"/>
              <w:rPr>
                <w:lang w:val="en-CA"/>
              </w:rPr>
            </w:pPr>
            <w:bookmarkStart w:id="5" w:name="NomJuge2"/>
            <w:r w:rsidRPr="0089517D">
              <w:rPr>
                <w:lang w:val="en-CA"/>
              </w:rPr>
              <w:t>JUDITH HARVIE, J.C.A.</w:t>
            </w:r>
            <w:bookmarkEnd w:id="5"/>
          </w:p>
          <w:p w14:paraId="73C9F2D7" w14:textId="58B0E7A4" w:rsidR="005A78BF" w:rsidRPr="0089517D" w:rsidRDefault="004566AB" w:rsidP="004566AB">
            <w:pPr>
              <w:pStyle w:val="zSoquijdatJuge"/>
              <w:rPr>
                <w:lang w:val="de-DE"/>
              </w:rPr>
            </w:pPr>
            <w:bookmarkStart w:id="6" w:name="_Hlt520513784"/>
            <w:bookmarkStart w:id="7" w:name="NomJuge3"/>
            <w:bookmarkEnd w:id="6"/>
            <w:r w:rsidRPr="0089517D">
              <w:t>MYRIAM LACHANCE, J.C.A.</w:t>
            </w:r>
            <w:bookmarkEnd w:id="7"/>
          </w:p>
        </w:tc>
      </w:tr>
      <w:tr w:rsidR="008F364A" w:rsidRPr="0089517D" w14:paraId="36771186" w14:textId="77777777" w:rsidTr="008D18FC">
        <w:tc>
          <w:tcPr>
            <w:tcW w:w="9360" w:type="dxa"/>
            <w:gridSpan w:val="6"/>
            <w:tcBorders>
              <w:bottom w:val="single" w:sz="8" w:space="0" w:color="auto"/>
            </w:tcBorders>
          </w:tcPr>
          <w:p w14:paraId="3FE10484" w14:textId="77777777" w:rsidR="008F364A" w:rsidRPr="0089517D" w:rsidRDefault="008F364A">
            <w:pPr>
              <w:rPr>
                <w:lang w:val="de-DE"/>
              </w:rPr>
            </w:pPr>
          </w:p>
        </w:tc>
      </w:tr>
      <w:tr w:rsidR="008F364A" w:rsidRPr="0089517D" w14:paraId="3032F47E" w14:textId="77777777" w:rsidTr="008D18FC">
        <w:tc>
          <w:tcPr>
            <w:tcW w:w="9360" w:type="dxa"/>
            <w:gridSpan w:val="6"/>
          </w:tcPr>
          <w:p w14:paraId="10E805CB" w14:textId="77777777" w:rsidR="008F364A" w:rsidRPr="0089517D" w:rsidRDefault="008F364A">
            <w:pPr>
              <w:pStyle w:val="zSoquijlblTitrePartie"/>
              <w:rPr>
                <w:lang w:val="de-DE"/>
              </w:rPr>
            </w:pPr>
          </w:p>
        </w:tc>
      </w:tr>
      <w:tr w:rsidR="008F364A" w:rsidRPr="0089517D" w14:paraId="2E61D266" w14:textId="77777777" w:rsidTr="008D18FC">
        <w:tc>
          <w:tcPr>
            <w:tcW w:w="9360" w:type="dxa"/>
            <w:gridSpan w:val="6"/>
          </w:tcPr>
          <w:p w14:paraId="2DDA6502" w14:textId="3971D028" w:rsidR="008F364A" w:rsidRPr="0089517D" w:rsidRDefault="004566AB">
            <w:pPr>
              <w:pStyle w:val="zSoquijdatNomPartieDem"/>
              <w:rPr>
                <w:lang w:val="de-DE"/>
              </w:rPr>
            </w:pPr>
            <w:r w:rsidRPr="0089517D">
              <w:t>VILLE DE MONTRÉAL</w:t>
            </w:r>
          </w:p>
        </w:tc>
      </w:tr>
      <w:tr w:rsidR="008F364A" w:rsidRPr="0089517D" w14:paraId="6E015043" w14:textId="77777777" w:rsidTr="008D18FC">
        <w:tc>
          <w:tcPr>
            <w:tcW w:w="9360" w:type="dxa"/>
            <w:gridSpan w:val="6"/>
          </w:tcPr>
          <w:p w14:paraId="79D15045" w14:textId="3285DB82" w:rsidR="008F364A" w:rsidRPr="0089517D" w:rsidRDefault="009673BB">
            <w:pPr>
              <w:pStyle w:val="zSoquijdatQtePartieDem"/>
              <w:rPr>
                <w:lang w:val="de-DE"/>
              </w:rPr>
            </w:pPr>
            <w:r w:rsidRPr="0089517D">
              <w:t>APPELANTE</w:t>
            </w:r>
            <w:r w:rsidR="004566AB" w:rsidRPr="0089517D">
              <w:t xml:space="preserve"> – défenderesse</w:t>
            </w:r>
          </w:p>
        </w:tc>
      </w:tr>
      <w:tr w:rsidR="008F364A" w:rsidRPr="0089517D" w14:paraId="653696B0" w14:textId="77777777" w:rsidTr="008D18FC">
        <w:tc>
          <w:tcPr>
            <w:tcW w:w="9360" w:type="dxa"/>
            <w:gridSpan w:val="6"/>
          </w:tcPr>
          <w:p w14:paraId="43711B71" w14:textId="77777777" w:rsidR="008F364A" w:rsidRPr="0089517D" w:rsidRDefault="00740A17">
            <w:pPr>
              <w:pStyle w:val="zSoquijlblLienParties"/>
              <w:rPr>
                <w:lang w:val="en-CA"/>
              </w:rPr>
            </w:pPr>
            <w:r w:rsidRPr="0089517D">
              <w:rPr>
                <w:lang w:val="en-CA"/>
              </w:rPr>
              <w:t>c.</w:t>
            </w:r>
          </w:p>
        </w:tc>
      </w:tr>
      <w:tr w:rsidR="008F364A" w:rsidRPr="0089517D" w14:paraId="7E8A84A3" w14:textId="77777777" w:rsidTr="008D18FC">
        <w:tc>
          <w:tcPr>
            <w:tcW w:w="9360" w:type="dxa"/>
            <w:gridSpan w:val="6"/>
          </w:tcPr>
          <w:p w14:paraId="7A3FD991" w14:textId="77777777" w:rsidR="008F364A" w:rsidRPr="0089517D" w:rsidRDefault="008F364A">
            <w:pPr>
              <w:rPr>
                <w:lang w:val="en-CA"/>
              </w:rPr>
            </w:pPr>
          </w:p>
        </w:tc>
      </w:tr>
      <w:tr w:rsidR="008F364A" w:rsidRPr="0089517D" w14:paraId="1D7875E2" w14:textId="77777777" w:rsidTr="008D18FC">
        <w:tc>
          <w:tcPr>
            <w:tcW w:w="9360" w:type="dxa"/>
            <w:gridSpan w:val="6"/>
          </w:tcPr>
          <w:p w14:paraId="230F4FE3" w14:textId="50D8DB5D" w:rsidR="008F364A" w:rsidRPr="0089517D" w:rsidRDefault="004566AB">
            <w:pPr>
              <w:pStyle w:val="zSoquijdatNomPartieDef"/>
              <w:rPr>
                <w:lang w:val="en-CA"/>
              </w:rPr>
            </w:pPr>
            <w:r w:rsidRPr="0089517D">
              <w:t>EBC INC.</w:t>
            </w:r>
          </w:p>
        </w:tc>
      </w:tr>
      <w:tr w:rsidR="008F364A" w:rsidRPr="0089517D" w14:paraId="434BD522" w14:textId="77777777" w:rsidTr="008D18FC">
        <w:tc>
          <w:tcPr>
            <w:tcW w:w="9360" w:type="dxa"/>
            <w:gridSpan w:val="6"/>
          </w:tcPr>
          <w:p w14:paraId="314F1E58" w14:textId="1ADB4848" w:rsidR="008F364A" w:rsidRPr="0089517D" w:rsidRDefault="004566AB">
            <w:pPr>
              <w:pStyle w:val="zSoquijdatQtePartieDef"/>
              <w:rPr>
                <w:lang w:val="en-CA"/>
              </w:rPr>
            </w:pPr>
            <w:r w:rsidRPr="0089517D">
              <w:t>INTIMÉE – demanderesse</w:t>
            </w:r>
          </w:p>
        </w:tc>
      </w:tr>
      <w:tr w:rsidR="008F364A" w:rsidRPr="0089517D" w14:paraId="59056853" w14:textId="77777777" w:rsidTr="008D18FC">
        <w:tc>
          <w:tcPr>
            <w:tcW w:w="9360" w:type="dxa"/>
            <w:gridSpan w:val="6"/>
          </w:tcPr>
          <w:p w14:paraId="4F3C57E9" w14:textId="77777777" w:rsidR="008F364A" w:rsidRPr="0089517D" w:rsidRDefault="008F364A">
            <w:pPr>
              <w:rPr>
                <w:lang w:val="en-CA"/>
              </w:rPr>
            </w:pPr>
          </w:p>
        </w:tc>
      </w:tr>
      <w:tr w:rsidR="008F364A" w:rsidRPr="0089517D" w14:paraId="3083E055" w14:textId="77777777" w:rsidTr="008D18FC">
        <w:tc>
          <w:tcPr>
            <w:tcW w:w="9360" w:type="dxa"/>
            <w:gridSpan w:val="6"/>
            <w:tcBorders>
              <w:top w:val="single" w:sz="8" w:space="0" w:color="auto"/>
            </w:tcBorders>
          </w:tcPr>
          <w:p w14:paraId="3F801A75" w14:textId="77777777" w:rsidR="008F364A" w:rsidRPr="0089517D" w:rsidRDefault="008F364A">
            <w:pPr>
              <w:rPr>
                <w:lang w:val="en-CA"/>
              </w:rPr>
            </w:pPr>
            <w:bookmarkStart w:id="8" w:name="Arret"/>
          </w:p>
        </w:tc>
      </w:tr>
      <w:tr w:rsidR="008F364A" w:rsidRPr="0089517D" w14:paraId="52C56C79" w14:textId="77777777" w:rsidTr="008D18FC">
        <w:tc>
          <w:tcPr>
            <w:tcW w:w="9360" w:type="dxa"/>
            <w:gridSpan w:val="6"/>
          </w:tcPr>
          <w:p w14:paraId="4E41F0F3" w14:textId="1FDA69F0" w:rsidR="008F364A" w:rsidRPr="0089517D" w:rsidRDefault="004566AB">
            <w:pPr>
              <w:pStyle w:val="zSoquijlblTypeDocument"/>
            </w:pPr>
            <w:bookmarkStart w:id="9" w:name="TitreDocument"/>
            <w:r w:rsidRPr="0089517D">
              <w:t>ARRÊT</w:t>
            </w:r>
            <w:bookmarkEnd w:id="9"/>
          </w:p>
        </w:tc>
      </w:tr>
      <w:tr w:rsidR="008F364A" w:rsidRPr="0089517D" w14:paraId="61EAAD94" w14:textId="77777777" w:rsidTr="008D18FC">
        <w:tc>
          <w:tcPr>
            <w:tcW w:w="9360" w:type="dxa"/>
            <w:gridSpan w:val="6"/>
            <w:tcBorders>
              <w:bottom w:val="single" w:sz="8" w:space="0" w:color="auto"/>
            </w:tcBorders>
          </w:tcPr>
          <w:p w14:paraId="7ADF41C2" w14:textId="77777777" w:rsidR="008F364A" w:rsidRPr="0089517D" w:rsidRDefault="008F364A"/>
        </w:tc>
      </w:tr>
      <w:tr w:rsidR="008F364A" w:rsidRPr="0089517D" w14:paraId="63ED3D6C" w14:textId="77777777" w:rsidTr="008D18FC">
        <w:tc>
          <w:tcPr>
            <w:tcW w:w="9360" w:type="dxa"/>
            <w:gridSpan w:val="6"/>
            <w:tcBorders>
              <w:top w:val="single" w:sz="8" w:space="0" w:color="auto"/>
            </w:tcBorders>
          </w:tcPr>
          <w:p w14:paraId="0311FB95" w14:textId="77777777" w:rsidR="008F364A" w:rsidRPr="0089517D" w:rsidRDefault="008F364A"/>
        </w:tc>
      </w:tr>
    </w:tbl>
    <w:p w14:paraId="15CFB1B5" w14:textId="785BFBF2" w:rsidR="00CF2E56" w:rsidRPr="0089517D" w:rsidRDefault="00CF2E56" w:rsidP="00C946D3">
      <w:pPr>
        <w:pStyle w:val="Paragraphe"/>
        <w:spacing w:line="240" w:lineRule="auto"/>
      </w:pPr>
      <w:r w:rsidRPr="0089517D">
        <w:t>L’appelante se pourvoit contre un jugement rendu en cours d’instance le 25 février 2025 par la Cour</w:t>
      </w:r>
      <w:r w:rsidR="009673BB" w:rsidRPr="0089517D">
        <w:t xml:space="preserve"> </w:t>
      </w:r>
      <w:r w:rsidRPr="0089517D">
        <w:t>supérieure, district de Montréal (l’honorable Catherine Piché)</w:t>
      </w:r>
      <w:bookmarkStart w:id="10" w:name="_ftnref1"/>
      <w:bookmarkEnd w:id="10"/>
      <w:r w:rsidRPr="0089517D">
        <w:t>, lequel ordonne la confidentialité de la somme réclamée par l’intimée dans le cadre de son recours contre l’appelante.</w:t>
      </w:r>
    </w:p>
    <w:p w14:paraId="749CFD9F" w14:textId="73F012D4" w:rsidR="00CF2E56" w:rsidRPr="0089517D" w:rsidRDefault="00CF2E56" w:rsidP="00C946D3">
      <w:pPr>
        <w:pStyle w:val="Paragraphe"/>
        <w:spacing w:line="240" w:lineRule="auto"/>
      </w:pPr>
      <w:r w:rsidRPr="0089517D">
        <w:rPr>
          <w:b/>
          <w:bCs/>
          <w:caps/>
        </w:rPr>
        <w:t>Pour les motifs</w:t>
      </w:r>
      <w:r w:rsidRPr="0089517D">
        <w:t xml:space="preserve"> de la juge Harvie, auxquels souscrit la juge Lachance, </w:t>
      </w:r>
      <w:r w:rsidRPr="0089517D">
        <w:rPr>
          <w:b/>
          <w:bCs/>
        </w:rPr>
        <w:t>LA COUR</w:t>
      </w:r>
      <w:r w:rsidRPr="0089517D">
        <w:t> :</w:t>
      </w:r>
    </w:p>
    <w:p w14:paraId="2624362C" w14:textId="5C0F51B0" w:rsidR="00CF2E56" w:rsidRPr="0089517D" w:rsidRDefault="00CF2E56" w:rsidP="00C946D3">
      <w:pPr>
        <w:pStyle w:val="Paragraphe"/>
        <w:spacing w:line="240" w:lineRule="auto"/>
      </w:pPr>
      <w:r w:rsidRPr="0089517D">
        <w:rPr>
          <w:b/>
          <w:bCs/>
        </w:rPr>
        <w:t>ACCUEILLE</w:t>
      </w:r>
      <w:r w:rsidRPr="0089517D">
        <w:t xml:space="preserve"> l’appel, avec les frais de justice;</w:t>
      </w:r>
    </w:p>
    <w:p w14:paraId="60739855" w14:textId="527A7DC2" w:rsidR="00CF2E56" w:rsidRPr="0089517D" w:rsidRDefault="00CF2E56" w:rsidP="00C946D3">
      <w:pPr>
        <w:pStyle w:val="Paragraphe"/>
        <w:spacing w:line="240" w:lineRule="auto"/>
      </w:pPr>
      <w:r w:rsidRPr="0089517D">
        <w:rPr>
          <w:b/>
          <w:bCs/>
        </w:rPr>
        <w:t>INFIRME</w:t>
      </w:r>
      <w:r w:rsidRPr="0089517D">
        <w:t xml:space="preserve"> le jugement de première instance et, procédant à rendre le jugement qui aurait dû être rendu, </w:t>
      </w:r>
      <w:r w:rsidRPr="0089517D">
        <w:rPr>
          <w:b/>
          <w:bCs/>
        </w:rPr>
        <w:t>REMPLACE</w:t>
      </w:r>
      <w:r w:rsidRPr="0089517D">
        <w:t xml:space="preserve"> les paragraphes 30 à 34 du dispositif du jugement par les suivants :</w:t>
      </w:r>
    </w:p>
    <w:p w14:paraId="01243848" w14:textId="074FAC39" w:rsidR="00CF2E56" w:rsidRPr="0089517D" w:rsidRDefault="00CF2E56" w:rsidP="00C946D3">
      <w:pPr>
        <w:pStyle w:val="Citationenretrait"/>
        <w:spacing w:line="240" w:lineRule="auto"/>
        <w:rPr>
          <w:sz w:val="24"/>
          <w:szCs w:val="24"/>
        </w:rPr>
      </w:pPr>
      <w:r w:rsidRPr="0089517D">
        <w:rPr>
          <w:sz w:val="24"/>
          <w:szCs w:val="24"/>
        </w:rPr>
        <w:lastRenderedPageBreak/>
        <w:t>[30]</w:t>
      </w:r>
      <w:r w:rsidR="00E71D23" w:rsidRPr="0089517D">
        <w:rPr>
          <w:b/>
          <w:bCs/>
          <w:sz w:val="24"/>
          <w:szCs w:val="24"/>
        </w:rPr>
        <w:tab/>
      </w:r>
      <w:r w:rsidRPr="0089517D">
        <w:rPr>
          <w:b/>
          <w:bCs/>
          <w:sz w:val="24"/>
          <w:szCs w:val="24"/>
        </w:rPr>
        <w:t>REJETTE</w:t>
      </w:r>
      <w:r w:rsidRPr="0089517D">
        <w:rPr>
          <w:sz w:val="24"/>
          <w:szCs w:val="24"/>
        </w:rPr>
        <w:t xml:space="preserve"> en partie la demande d’avis de gestion d’instance d</w:t>
      </w:r>
      <w:r w:rsidR="002A1750">
        <w:rPr>
          <w:sz w:val="24"/>
          <w:szCs w:val="24"/>
        </w:rPr>
        <w:t>’</w:t>
      </w:r>
      <w:r w:rsidRPr="0089517D">
        <w:rPr>
          <w:sz w:val="24"/>
          <w:szCs w:val="24"/>
        </w:rPr>
        <w:t>EBC inc. datée du 16 janvier 2025;</w:t>
      </w:r>
    </w:p>
    <w:p w14:paraId="34BDAE9C" w14:textId="06F87B45" w:rsidR="00CF2E56" w:rsidRPr="0089517D" w:rsidRDefault="00CF2E56" w:rsidP="00C946D3">
      <w:pPr>
        <w:pStyle w:val="Citationenretrait"/>
        <w:spacing w:line="240" w:lineRule="auto"/>
        <w:rPr>
          <w:sz w:val="24"/>
          <w:szCs w:val="24"/>
        </w:rPr>
      </w:pPr>
      <w:r w:rsidRPr="0089517D">
        <w:rPr>
          <w:sz w:val="24"/>
          <w:szCs w:val="24"/>
        </w:rPr>
        <w:t>[31]</w:t>
      </w:r>
      <w:r w:rsidR="00E71D23" w:rsidRPr="0089517D">
        <w:rPr>
          <w:sz w:val="24"/>
          <w:szCs w:val="24"/>
        </w:rPr>
        <w:tab/>
      </w:r>
      <w:r w:rsidRPr="0089517D">
        <w:rPr>
          <w:b/>
          <w:bCs/>
          <w:sz w:val="24"/>
          <w:szCs w:val="24"/>
        </w:rPr>
        <w:t>ORDONNE</w:t>
      </w:r>
      <w:r w:rsidRPr="0089517D">
        <w:rPr>
          <w:sz w:val="24"/>
          <w:szCs w:val="24"/>
        </w:rPr>
        <w:t xml:space="preserve"> à EBC inc. de modifier sa demande introductive d’instance en y indiquant le montant qu’elle réclame contre l</w:t>
      </w:r>
      <w:r w:rsidR="00370630" w:rsidRPr="0089517D">
        <w:rPr>
          <w:sz w:val="24"/>
          <w:szCs w:val="24"/>
        </w:rPr>
        <w:t>a</w:t>
      </w:r>
      <w:r w:rsidRPr="0089517D">
        <w:rPr>
          <w:sz w:val="24"/>
          <w:szCs w:val="24"/>
        </w:rPr>
        <w:t xml:space="preserve"> Ville de Montréal dans un délai de </w:t>
      </w:r>
      <w:r w:rsidR="00CC3004" w:rsidRPr="0089517D">
        <w:rPr>
          <w:sz w:val="24"/>
          <w:szCs w:val="24"/>
        </w:rPr>
        <w:t xml:space="preserve">45 </w:t>
      </w:r>
      <w:r w:rsidRPr="0089517D">
        <w:rPr>
          <w:sz w:val="24"/>
          <w:szCs w:val="24"/>
        </w:rPr>
        <w:t>jours;</w:t>
      </w:r>
    </w:p>
    <w:p w14:paraId="24A5E226" w14:textId="2C4609A8" w:rsidR="00CF2E56" w:rsidRPr="0089517D" w:rsidRDefault="00CF2E56" w:rsidP="00C946D3">
      <w:pPr>
        <w:pStyle w:val="Citationenretrait"/>
        <w:spacing w:line="240" w:lineRule="auto"/>
        <w:rPr>
          <w:sz w:val="24"/>
          <w:szCs w:val="24"/>
        </w:rPr>
      </w:pPr>
      <w:r w:rsidRPr="0089517D">
        <w:rPr>
          <w:sz w:val="24"/>
          <w:szCs w:val="24"/>
        </w:rPr>
        <w:t>[32]</w:t>
      </w:r>
      <w:r w:rsidR="00E71D23" w:rsidRPr="0089517D">
        <w:rPr>
          <w:sz w:val="24"/>
          <w:szCs w:val="24"/>
        </w:rPr>
        <w:tab/>
      </w:r>
      <w:r w:rsidRPr="0089517D">
        <w:rPr>
          <w:b/>
          <w:bCs/>
          <w:sz w:val="24"/>
          <w:szCs w:val="24"/>
        </w:rPr>
        <w:t>LE TOUT</w:t>
      </w:r>
      <w:r w:rsidRPr="0089517D">
        <w:rPr>
          <w:sz w:val="24"/>
          <w:szCs w:val="24"/>
        </w:rPr>
        <w:t>, avec les frais de justice.</w:t>
      </w:r>
    </w:p>
    <w:p w14:paraId="489D2DDF" w14:textId="6C5DB014" w:rsidR="00CF2E56" w:rsidRPr="0089517D" w:rsidRDefault="002C58A4" w:rsidP="00C946D3">
      <w:pPr>
        <w:pStyle w:val="Paragraphe"/>
        <w:spacing w:line="240" w:lineRule="auto"/>
      </w:pPr>
      <w:r w:rsidRPr="0089517D">
        <w:t>Pour ses propres motifs,</w:t>
      </w:r>
      <w:r w:rsidR="00370630" w:rsidRPr="0089517D">
        <w:t xml:space="preserve"> le juge Schrager aurait rejeté l’appel, avec les frais de justice.</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F364A" w:rsidRPr="0089517D" w14:paraId="11CC5F61" w14:textId="77777777" w:rsidTr="003E3239">
        <w:trPr>
          <w:trHeight w:val="576"/>
        </w:trPr>
        <w:tc>
          <w:tcPr>
            <w:tcW w:w="9362" w:type="dxa"/>
            <w:gridSpan w:val="3"/>
            <w:tcBorders>
              <w:top w:val="nil"/>
              <w:bottom w:val="nil"/>
            </w:tcBorders>
          </w:tcPr>
          <w:p w14:paraId="641196A0" w14:textId="77777777" w:rsidR="008F364A" w:rsidRPr="0089517D" w:rsidRDefault="008F364A">
            <w:pPr>
              <w:keepNext/>
            </w:pPr>
          </w:p>
        </w:tc>
      </w:tr>
      <w:tr w:rsidR="008F364A" w:rsidRPr="0089517D" w14:paraId="4024E1B8" w14:textId="77777777" w:rsidTr="00117914">
        <w:trPr>
          <w:trHeight w:val="283"/>
        </w:trPr>
        <w:tc>
          <w:tcPr>
            <w:tcW w:w="4682" w:type="dxa"/>
            <w:gridSpan w:val="2"/>
            <w:tcBorders>
              <w:top w:val="nil"/>
              <w:bottom w:val="nil"/>
            </w:tcBorders>
          </w:tcPr>
          <w:p w14:paraId="6873CB40" w14:textId="77777777" w:rsidR="008F364A" w:rsidRPr="0089517D" w:rsidRDefault="008F364A">
            <w:pPr>
              <w:keepNext/>
            </w:pPr>
          </w:p>
        </w:tc>
        <w:tc>
          <w:tcPr>
            <w:tcW w:w="4680" w:type="dxa"/>
            <w:tcBorders>
              <w:top w:val="nil"/>
              <w:bottom w:val="single" w:sz="8" w:space="0" w:color="auto"/>
            </w:tcBorders>
          </w:tcPr>
          <w:p w14:paraId="3D494D3D" w14:textId="77777777" w:rsidR="008F364A" w:rsidRPr="0089517D" w:rsidRDefault="008F364A">
            <w:pPr>
              <w:keepNext/>
            </w:pPr>
          </w:p>
        </w:tc>
      </w:tr>
      <w:tr w:rsidR="008F364A" w:rsidRPr="00313611" w14:paraId="64351503" w14:textId="77777777" w:rsidTr="00117914">
        <w:trPr>
          <w:trHeight w:val="283"/>
        </w:trPr>
        <w:tc>
          <w:tcPr>
            <w:tcW w:w="4682" w:type="dxa"/>
            <w:gridSpan w:val="2"/>
            <w:tcBorders>
              <w:top w:val="nil"/>
            </w:tcBorders>
          </w:tcPr>
          <w:p w14:paraId="61F43166" w14:textId="77777777" w:rsidR="008F364A" w:rsidRPr="0089517D" w:rsidRDefault="008F364A">
            <w:pPr>
              <w:keepNext/>
            </w:pPr>
          </w:p>
        </w:tc>
        <w:tc>
          <w:tcPr>
            <w:tcW w:w="4680" w:type="dxa"/>
            <w:tcBorders>
              <w:top w:val="single" w:sz="8" w:space="0" w:color="auto"/>
            </w:tcBorders>
          </w:tcPr>
          <w:p w14:paraId="701802EC" w14:textId="55BA0DB6" w:rsidR="008F364A" w:rsidRPr="0089517D" w:rsidRDefault="00801DC3">
            <w:pPr>
              <w:rPr>
                <w:lang w:val="en-CA"/>
              </w:rPr>
            </w:pPr>
            <w:r>
              <w:t>MARK SCHRAGER, J.C.A.</w:t>
            </w:r>
          </w:p>
        </w:tc>
      </w:tr>
      <w:tr w:rsidR="008F364A" w:rsidRPr="00313611" w14:paraId="4019FB61" w14:textId="77777777" w:rsidTr="00117914">
        <w:trPr>
          <w:trHeight w:val="283"/>
        </w:trPr>
        <w:tc>
          <w:tcPr>
            <w:tcW w:w="4682" w:type="dxa"/>
            <w:gridSpan w:val="2"/>
            <w:tcBorders>
              <w:top w:val="nil"/>
            </w:tcBorders>
          </w:tcPr>
          <w:p w14:paraId="637408E7" w14:textId="77777777" w:rsidR="008F364A" w:rsidRPr="0089517D" w:rsidRDefault="008F364A">
            <w:pPr>
              <w:keepNext/>
              <w:rPr>
                <w:lang w:val="en-CA"/>
              </w:rPr>
            </w:pPr>
            <w:bookmarkStart w:id="11" w:name="Signature2"/>
          </w:p>
        </w:tc>
        <w:tc>
          <w:tcPr>
            <w:tcW w:w="4680" w:type="dxa"/>
            <w:tcBorders>
              <w:top w:val="nil"/>
            </w:tcBorders>
          </w:tcPr>
          <w:p w14:paraId="75866693" w14:textId="77777777" w:rsidR="008F364A" w:rsidRPr="0089517D" w:rsidRDefault="008F364A">
            <w:pPr>
              <w:keepNext/>
              <w:rPr>
                <w:lang w:val="en-CA"/>
              </w:rPr>
            </w:pPr>
          </w:p>
        </w:tc>
      </w:tr>
      <w:tr w:rsidR="008F364A" w:rsidRPr="00313611" w14:paraId="7642828C" w14:textId="77777777" w:rsidTr="00117914">
        <w:trPr>
          <w:trHeight w:val="283"/>
        </w:trPr>
        <w:tc>
          <w:tcPr>
            <w:tcW w:w="4682" w:type="dxa"/>
            <w:gridSpan w:val="2"/>
            <w:tcBorders>
              <w:top w:val="nil"/>
              <w:bottom w:val="nil"/>
            </w:tcBorders>
          </w:tcPr>
          <w:p w14:paraId="3FCD9A52" w14:textId="77777777" w:rsidR="008F364A" w:rsidRPr="0089517D" w:rsidRDefault="008F364A">
            <w:pPr>
              <w:keepNext/>
              <w:rPr>
                <w:lang w:val="en-CA"/>
              </w:rPr>
            </w:pPr>
          </w:p>
        </w:tc>
        <w:tc>
          <w:tcPr>
            <w:tcW w:w="4680" w:type="dxa"/>
            <w:tcBorders>
              <w:top w:val="nil"/>
              <w:bottom w:val="single" w:sz="8" w:space="0" w:color="auto"/>
            </w:tcBorders>
          </w:tcPr>
          <w:p w14:paraId="4DA60CB6" w14:textId="77777777" w:rsidR="008F364A" w:rsidRPr="0089517D" w:rsidRDefault="008F364A">
            <w:pPr>
              <w:keepNext/>
              <w:rPr>
                <w:lang w:val="en-CA"/>
              </w:rPr>
            </w:pPr>
          </w:p>
        </w:tc>
      </w:tr>
      <w:tr w:rsidR="008F364A" w:rsidRPr="00313611" w14:paraId="5F81610B" w14:textId="77777777" w:rsidTr="00117914">
        <w:trPr>
          <w:trHeight w:val="283"/>
        </w:trPr>
        <w:tc>
          <w:tcPr>
            <w:tcW w:w="4682" w:type="dxa"/>
            <w:gridSpan w:val="2"/>
            <w:tcBorders>
              <w:top w:val="nil"/>
            </w:tcBorders>
          </w:tcPr>
          <w:p w14:paraId="70972C4B" w14:textId="77777777" w:rsidR="008F364A" w:rsidRPr="0089517D" w:rsidRDefault="008F364A">
            <w:pPr>
              <w:keepNext/>
              <w:rPr>
                <w:lang w:val="en-CA"/>
              </w:rPr>
            </w:pPr>
          </w:p>
        </w:tc>
        <w:tc>
          <w:tcPr>
            <w:tcW w:w="4680" w:type="dxa"/>
            <w:tcBorders>
              <w:top w:val="single" w:sz="8" w:space="0" w:color="auto"/>
            </w:tcBorders>
          </w:tcPr>
          <w:p w14:paraId="728B27C3" w14:textId="4BEF1675" w:rsidR="008F364A" w:rsidRPr="0089517D" w:rsidRDefault="00801DC3">
            <w:pPr>
              <w:keepNext/>
              <w:rPr>
                <w:lang w:val="en-CA"/>
              </w:rPr>
            </w:pPr>
            <w:r>
              <w:t>JUDITH HARVIE, J.C.A.</w:t>
            </w:r>
          </w:p>
        </w:tc>
      </w:tr>
      <w:tr w:rsidR="008F364A" w:rsidRPr="00313611" w14:paraId="2D47A999" w14:textId="77777777" w:rsidTr="00117914">
        <w:trPr>
          <w:trHeight w:val="283"/>
        </w:trPr>
        <w:tc>
          <w:tcPr>
            <w:tcW w:w="4682" w:type="dxa"/>
            <w:gridSpan w:val="2"/>
            <w:tcBorders>
              <w:top w:val="nil"/>
            </w:tcBorders>
          </w:tcPr>
          <w:p w14:paraId="0174D0EC" w14:textId="77777777" w:rsidR="008F364A" w:rsidRPr="0089517D" w:rsidRDefault="008F364A">
            <w:pPr>
              <w:keepNext/>
              <w:rPr>
                <w:lang w:val="en-CA"/>
              </w:rPr>
            </w:pPr>
            <w:bookmarkStart w:id="12" w:name="Signature3"/>
            <w:bookmarkEnd w:id="11"/>
          </w:p>
        </w:tc>
        <w:tc>
          <w:tcPr>
            <w:tcW w:w="4680" w:type="dxa"/>
            <w:tcBorders>
              <w:top w:val="nil"/>
            </w:tcBorders>
          </w:tcPr>
          <w:p w14:paraId="797F8CC0" w14:textId="77777777" w:rsidR="008F364A" w:rsidRPr="0089517D" w:rsidRDefault="008F364A">
            <w:pPr>
              <w:keepNext/>
              <w:rPr>
                <w:lang w:val="en-CA"/>
              </w:rPr>
            </w:pPr>
          </w:p>
        </w:tc>
      </w:tr>
      <w:tr w:rsidR="008F364A" w:rsidRPr="00313611" w14:paraId="3040171A" w14:textId="77777777" w:rsidTr="00117914">
        <w:trPr>
          <w:trHeight w:val="283"/>
        </w:trPr>
        <w:tc>
          <w:tcPr>
            <w:tcW w:w="4682" w:type="dxa"/>
            <w:gridSpan w:val="2"/>
            <w:tcBorders>
              <w:top w:val="nil"/>
              <w:bottom w:val="nil"/>
            </w:tcBorders>
          </w:tcPr>
          <w:p w14:paraId="31421DBD" w14:textId="77777777" w:rsidR="008F364A" w:rsidRPr="0089517D" w:rsidRDefault="008F364A">
            <w:pPr>
              <w:keepNext/>
              <w:rPr>
                <w:lang w:val="en-CA"/>
              </w:rPr>
            </w:pPr>
          </w:p>
        </w:tc>
        <w:tc>
          <w:tcPr>
            <w:tcW w:w="4680" w:type="dxa"/>
            <w:tcBorders>
              <w:top w:val="nil"/>
              <w:bottom w:val="single" w:sz="8" w:space="0" w:color="auto"/>
            </w:tcBorders>
          </w:tcPr>
          <w:p w14:paraId="507B9641" w14:textId="77777777" w:rsidR="008F364A" w:rsidRPr="0089517D" w:rsidRDefault="008F364A">
            <w:pPr>
              <w:keepNext/>
              <w:rPr>
                <w:lang w:val="en-CA"/>
              </w:rPr>
            </w:pPr>
          </w:p>
        </w:tc>
      </w:tr>
      <w:tr w:rsidR="008F364A" w:rsidRPr="0089517D" w14:paraId="3F5B2B54" w14:textId="77777777" w:rsidTr="00117914">
        <w:trPr>
          <w:trHeight w:val="283"/>
        </w:trPr>
        <w:tc>
          <w:tcPr>
            <w:tcW w:w="4682" w:type="dxa"/>
            <w:gridSpan w:val="2"/>
            <w:tcBorders>
              <w:top w:val="nil"/>
            </w:tcBorders>
          </w:tcPr>
          <w:p w14:paraId="25C311F8" w14:textId="77777777" w:rsidR="008F364A" w:rsidRPr="0089517D" w:rsidRDefault="008F364A">
            <w:pPr>
              <w:keepNext/>
              <w:rPr>
                <w:lang w:val="en-CA"/>
              </w:rPr>
            </w:pPr>
          </w:p>
        </w:tc>
        <w:tc>
          <w:tcPr>
            <w:tcW w:w="4680" w:type="dxa"/>
            <w:tcBorders>
              <w:top w:val="single" w:sz="8" w:space="0" w:color="auto"/>
            </w:tcBorders>
          </w:tcPr>
          <w:p w14:paraId="4795228C" w14:textId="0688A068" w:rsidR="008F364A" w:rsidRPr="0089517D" w:rsidRDefault="00801DC3">
            <w:pPr>
              <w:keepNext/>
            </w:pPr>
            <w:r>
              <w:t>MYRIAM LACHANCE, J.C.A.</w:t>
            </w:r>
          </w:p>
        </w:tc>
      </w:tr>
      <w:bookmarkEnd w:id="12"/>
      <w:tr w:rsidR="005A78BF" w:rsidRPr="0089517D" w14:paraId="0A01E1B1" w14:textId="77777777" w:rsidTr="002947A6">
        <w:tc>
          <w:tcPr>
            <w:tcW w:w="9362" w:type="dxa"/>
            <w:gridSpan w:val="3"/>
            <w:tcBorders>
              <w:bottom w:val="nil"/>
            </w:tcBorders>
          </w:tcPr>
          <w:p w14:paraId="71ACB753" w14:textId="77777777" w:rsidR="005A78BF" w:rsidRPr="0089517D" w:rsidRDefault="005A78BF" w:rsidP="005A78BF"/>
        </w:tc>
      </w:tr>
      <w:tr w:rsidR="005A78BF" w:rsidRPr="0089517D" w14:paraId="6A87EA2B" w14:textId="77777777" w:rsidTr="002947A6">
        <w:tc>
          <w:tcPr>
            <w:tcW w:w="9362" w:type="dxa"/>
            <w:gridSpan w:val="3"/>
            <w:tcBorders>
              <w:top w:val="nil"/>
            </w:tcBorders>
          </w:tcPr>
          <w:p w14:paraId="053C0491" w14:textId="18ECA9E9" w:rsidR="005A78BF" w:rsidRPr="0089517D" w:rsidRDefault="004566AB" w:rsidP="005A78BF">
            <w:pPr>
              <w:pStyle w:val="zSoquijdatNomProcureurDem"/>
            </w:pPr>
            <w:r w:rsidRPr="0089517D">
              <w:t>Me Marie-Hélène Juneau-Voyer</w:t>
            </w:r>
          </w:p>
        </w:tc>
      </w:tr>
      <w:tr w:rsidR="005A78BF" w:rsidRPr="0089517D" w14:paraId="62032ACB" w14:textId="77777777" w:rsidTr="00423DF1">
        <w:tc>
          <w:tcPr>
            <w:tcW w:w="9362" w:type="dxa"/>
            <w:gridSpan w:val="3"/>
          </w:tcPr>
          <w:p w14:paraId="7B2F5600" w14:textId="036E6967" w:rsidR="005A78BF" w:rsidRPr="0089517D" w:rsidRDefault="004566AB" w:rsidP="005A78BF">
            <w:pPr>
              <w:pStyle w:val="zSoquijdatCabinetProcureurDem"/>
              <w:rPr>
                <w:lang w:val="en-CA"/>
              </w:rPr>
            </w:pPr>
            <w:r w:rsidRPr="0089517D">
              <w:t>GAGNIER GUAY BIRON</w:t>
            </w:r>
          </w:p>
        </w:tc>
      </w:tr>
      <w:tr w:rsidR="005A78BF" w:rsidRPr="0089517D" w14:paraId="0ADBA606" w14:textId="77777777" w:rsidTr="00423DF1">
        <w:tc>
          <w:tcPr>
            <w:tcW w:w="9362" w:type="dxa"/>
            <w:gridSpan w:val="3"/>
          </w:tcPr>
          <w:p w14:paraId="2E8DA40F" w14:textId="22771DE1" w:rsidR="005A78BF" w:rsidRPr="0089517D" w:rsidRDefault="004566AB" w:rsidP="005A78BF">
            <w:pPr>
              <w:pStyle w:val="zSoquijlblProcureurDem"/>
              <w:rPr>
                <w:lang w:val="en-CA"/>
              </w:rPr>
            </w:pPr>
            <w:r w:rsidRPr="0089517D">
              <w:t>Pour l’appelante</w:t>
            </w:r>
          </w:p>
        </w:tc>
      </w:tr>
      <w:tr w:rsidR="005A78BF" w:rsidRPr="0089517D" w14:paraId="7EC71E94" w14:textId="77777777" w:rsidTr="00423DF1">
        <w:tc>
          <w:tcPr>
            <w:tcW w:w="9362" w:type="dxa"/>
            <w:gridSpan w:val="3"/>
          </w:tcPr>
          <w:p w14:paraId="277CEE1A" w14:textId="77777777" w:rsidR="005A78BF" w:rsidRPr="0089517D" w:rsidRDefault="005A78BF" w:rsidP="005A78BF">
            <w:pPr>
              <w:rPr>
                <w:lang w:val="en-CA"/>
              </w:rPr>
            </w:pPr>
          </w:p>
        </w:tc>
      </w:tr>
      <w:tr w:rsidR="005A78BF" w:rsidRPr="0089517D" w14:paraId="1BB3F366" w14:textId="77777777" w:rsidTr="00423DF1">
        <w:tc>
          <w:tcPr>
            <w:tcW w:w="9362" w:type="dxa"/>
            <w:gridSpan w:val="3"/>
          </w:tcPr>
          <w:p w14:paraId="37ED0A61" w14:textId="1B5A550F" w:rsidR="005A78BF" w:rsidRPr="0089517D" w:rsidRDefault="004566AB" w:rsidP="005A78BF">
            <w:pPr>
              <w:pStyle w:val="zSoquijdatNomProcureurDef"/>
              <w:rPr>
                <w:lang w:val="en-CA"/>
              </w:rPr>
            </w:pPr>
            <w:r w:rsidRPr="0089517D">
              <w:t>Me Ian Gosselin</w:t>
            </w:r>
          </w:p>
        </w:tc>
      </w:tr>
      <w:tr w:rsidR="005A78BF" w:rsidRPr="0089517D" w14:paraId="02EEAF62" w14:textId="77777777" w:rsidTr="00423DF1">
        <w:tc>
          <w:tcPr>
            <w:tcW w:w="9362" w:type="dxa"/>
            <w:gridSpan w:val="3"/>
          </w:tcPr>
          <w:p w14:paraId="618D4075" w14:textId="4030105A" w:rsidR="005A78BF" w:rsidRPr="0089517D" w:rsidRDefault="004566AB" w:rsidP="005A78BF">
            <w:pPr>
              <w:pStyle w:val="zSoquijdatCabinetProcureurDef"/>
              <w:rPr>
                <w:lang w:val="en-CA"/>
              </w:rPr>
            </w:pPr>
            <w:r w:rsidRPr="0089517D">
              <w:t>NORTON ROSE FULBRIGHT CANADA</w:t>
            </w:r>
          </w:p>
        </w:tc>
      </w:tr>
      <w:tr w:rsidR="005A78BF" w:rsidRPr="0089517D" w14:paraId="1C90F4F3" w14:textId="77777777" w:rsidTr="00423DF1">
        <w:tc>
          <w:tcPr>
            <w:tcW w:w="9362" w:type="dxa"/>
            <w:gridSpan w:val="3"/>
          </w:tcPr>
          <w:p w14:paraId="19CB0524" w14:textId="69DCE693" w:rsidR="005A78BF" w:rsidRPr="0089517D" w:rsidRDefault="004566AB" w:rsidP="005A78BF">
            <w:pPr>
              <w:pStyle w:val="zSoquijlblProcureurDef"/>
              <w:rPr>
                <w:lang w:val="en-CA"/>
              </w:rPr>
            </w:pPr>
            <w:r w:rsidRPr="0089517D">
              <w:t>Pour l’intimée</w:t>
            </w:r>
          </w:p>
        </w:tc>
      </w:tr>
      <w:tr w:rsidR="005A78BF" w:rsidRPr="0089517D" w14:paraId="443D1B0B" w14:textId="77777777" w:rsidTr="00423DF1">
        <w:tc>
          <w:tcPr>
            <w:tcW w:w="9362" w:type="dxa"/>
            <w:gridSpan w:val="3"/>
          </w:tcPr>
          <w:p w14:paraId="0011C19C" w14:textId="77777777" w:rsidR="005A78BF" w:rsidRPr="0089517D" w:rsidRDefault="005A78BF" w:rsidP="005A78BF">
            <w:pPr>
              <w:rPr>
                <w:lang w:val="en-CA"/>
              </w:rPr>
            </w:pPr>
          </w:p>
        </w:tc>
      </w:tr>
      <w:tr w:rsidR="005A78BF" w:rsidRPr="0089517D" w14:paraId="79319DFC" w14:textId="77777777" w:rsidTr="00423DF1">
        <w:tc>
          <w:tcPr>
            <w:tcW w:w="1997" w:type="dxa"/>
          </w:tcPr>
          <w:p w14:paraId="774356A0" w14:textId="77777777" w:rsidR="005A78BF" w:rsidRPr="0089517D" w:rsidRDefault="005A78BF" w:rsidP="005A78BF">
            <w:pPr>
              <w:pStyle w:val="zSoquijlblDateAudience"/>
            </w:pPr>
            <w:r w:rsidRPr="0089517D">
              <w:t>Date d’audience :</w:t>
            </w:r>
          </w:p>
        </w:tc>
        <w:tc>
          <w:tcPr>
            <w:tcW w:w="7365" w:type="dxa"/>
            <w:gridSpan w:val="2"/>
          </w:tcPr>
          <w:p w14:paraId="6D5F3999" w14:textId="29D61DB7" w:rsidR="005A78BF" w:rsidRPr="0089517D" w:rsidRDefault="004566AB" w:rsidP="005A78BF">
            <w:pPr>
              <w:pStyle w:val="zSoquijdatDateAudience"/>
            </w:pPr>
            <w:r w:rsidRPr="0089517D">
              <w:t>11 mars 2026</w:t>
            </w:r>
          </w:p>
        </w:tc>
      </w:tr>
      <w:bookmarkEnd w:id="8"/>
    </w:tbl>
    <w:p w14:paraId="541A822A" w14:textId="77777777" w:rsidR="003E05D3" w:rsidRPr="0089517D" w:rsidRDefault="003E05D3">
      <w:pPr>
        <w:spacing w:line="240" w:lineRule="auto"/>
      </w:pPr>
      <w:r w:rsidRPr="0089517D">
        <w:br w:type="page"/>
      </w:r>
    </w:p>
    <w:tbl>
      <w:tblPr>
        <w:tblW w:w="0" w:type="auto"/>
        <w:tblLayout w:type="fixed"/>
        <w:tblCellMar>
          <w:left w:w="0" w:type="dxa"/>
          <w:right w:w="0" w:type="dxa"/>
        </w:tblCellMar>
        <w:tblLook w:val="0000" w:firstRow="0" w:lastRow="0" w:firstColumn="0" w:lastColumn="0" w:noHBand="0" w:noVBand="0"/>
      </w:tblPr>
      <w:tblGrid>
        <w:gridCol w:w="9360"/>
      </w:tblGrid>
      <w:tr w:rsidR="003E05D3" w:rsidRPr="0089517D" w14:paraId="393D6342" w14:textId="77777777" w:rsidTr="00856AE5">
        <w:tc>
          <w:tcPr>
            <w:tcW w:w="9360" w:type="dxa"/>
            <w:tcBorders>
              <w:bottom w:val="single" w:sz="8" w:space="0" w:color="auto"/>
            </w:tcBorders>
          </w:tcPr>
          <w:p w14:paraId="0B316DD6" w14:textId="77777777" w:rsidR="003E05D3" w:rsidRPr="0089517D" w:rsidRDefault="003E05D3" w:rsidP="00856AE5">
            <w:pPr>
              <w:spacing w:line="240" w:lineRule="auto"/>
            </w:pPr>
          </w:p>
          <w:p w14:paraId="024F5A07" w14:textId="77777777" w:rsidR="003E05D3" w:rsidRPr="0089517D" w:rsidRDefault="003E05D3" w:rsidP="00856AE5">
            <w:pPr>
              <w:spacing w:line="240" w:lineRule="auto"/>
            </w:pPr>
          </w:p>
        </w:tc>
      </w:tr>
      <w:tr w:rsidR="003E05D3" w:rsidRPr="0089517D" w14:paraId="72CC5E57" w14:textId="77777777" w:rsidTr="00856AE5">
        <w:tc>
          <w:tcPr>
            <w:tcW w:w="9360" w:type="dxa"/>
            <w:tcBorders>
              <w:top w:val="single" w:sz="8" w:space="0" w:color="auto"/>
            </w:tcBorders>
          </w:tcPr>
          <w:p w14:paraId="0315B4F9" w14:textId="77777777" w:rsidR="003E05D3" w:rsidRPr="0089517D" w:rsidRDefault="003E05D3" w:rsidP="00856AE5">
            <w:pPr>
              <w:spacing w:line="240" w:lineRule="auto"/>
            </w:pPr>
          </w:p>
        </w:tc>
      </w:tr>
      <w:tr w:rsidR="003E05D3" w:rsidRPr="0089517D" w14:paraId="7429BF99" w14:textId="77777777" w:rsidTr="00856AE5">
        <w:tc>
          <w:tcPr>
            <w:tcW w:w="9360" w:type="dxa"/>
          </w:tcPr>
          <w:p w14:paraId="254C1E0E" w14:textId="4167F16E" w:rsidR="003E05D3" w:rsidRPr="0089517D" w:rsidRDefault="00801DC3" w:rsidP="00856AE5">
            <w:pPr>
              <w:pStyle w:val="zSoquijlblOpinionJuge"/>
              <w:spacing w:line="240" w:lineRule="auto"/>
            </w:pPr>
            <w:r>
              <w:t>MOTIFS DE LA JUGE</w:t>
            </w:r>
            <w:r w:rsidR="003E05D3" w:rsidRPr="0089517D">
              <w:t xml:space="preserve"> </w:t>
            </w:r>
            <w:r>
              <w:t>HARVIE</w:t>
            </w:r>
          </w:p>
        </w:tc>
      </w:tr>
      <w:tr w:rsidR="003E05D3" w:rsidRPr="0089517D" w14:paraId="50B208E9" w14:textId="77777777" w:rsidTr="00856AE5">
        <w:tc>
          <w:tcPr>
            <w:tcW w:w="9360" w:type="dxa"/>
            <w:tcBorders>
              <w:bottom w:val="single" w:sz="8" w:space="0" w:color="auto"/>
            </w:tcBorders>
          </w:tcPr>
          <w:p w14:paraId="00A8397C" w14:textId="77777777" w:rsidR="003E05D3" w:rsidRPr="0089517D" w:rsidRDefault="003E05D3" w:rsidP="00856AE5">
            <w:pPr>
              <w:spacing w:line="240" w:lineRule="auto"/>
            </w:pPr>
          </w:p>
        </w:tc>
      </w:tr>
      <w:tr w:rsidR="003E05D3" w:rsidRPr="0089517D" w14:paraId="588973EE" w14:textId="77777777" w:rsidTr="00856AE5">
        <w:tc>
          <w:tcPr>
            <w:tcW w:w="9360" w:type="dxa"/>
            <w:tcBorders>
              <w:top w:val="single" w:sz="8" w:space="0" w:color="auto"/>
            </w:tcBorders>
          </w:tcPr>
          <w:p w14:paraId="590CBBB2" w14:textId="77777777" w:rsidR="003E05D3" w:rsidRPr="0089517D" w:rsidRDefault="003E05D3" w:rsidP="00856AE5">
            <w:pPr>
              <w:spacing w:line="240" w:lineRule="auto"/>
            </w:pPr>
          </w:p>
        </w:tc>
      </w:tr>
    </w:tbl>
    <w:p w14:paraId="2C314A41" w14:textId="271096F0" w:rsidR="003E05D3" w:rsidRPr="0089517D" w:rsidRDefault="003E05D3" w:rsidP="003E05D3">
      <w:pPr>
        <w:pStyle w:val="Paragraphe"/>
        <w:spacing w:line="240" w:lineRule="auto"/>
      </w:pPr>
      <w:bookmarkStart w:id="13" w:name="_Hlk230627140"/>
      <w:r w:rsidRPr="0089517D">
        <w:t>L’appelante, Ville de Montréal (« </w:t>
      </w:r>
      <w:r w:rsidRPr="0089517D">
        <w:rPr>
          <w:b/>
          <w:bCs/>
        </w:rPr>
        <w:t>Ville</w:t>
      </w:r>
      <w:r w:rsidRPr="0089517D">
        <w:t> »), se pourvoit contre un jugement rendu en cours d’instance le 25 février 2025 par la Cour</w:t>
      </w:r>
      <w:r w:rsidR="00E71D23" w:rsidRPr="0089517D">
        <w:t xml:space="preserve"> </w:t>
      </w:r>
      <w:r w:rsidRPr="0089517D">
        <w:t>supérieure (l’honorable Catherine Piché), lequel ordonne la confidentialité de la somme réclamée par l’intimée EBC inc. (« </w:t>
      </w:r>
      <w:r w:rsidRPr="0089517D">
        <w:rPr>
          <w:b/>
          <w:bCs/>
        </w:rPr>
        <w:t>EBC</w:t>
      </w:r>
      <w:r w:rsidRPr="0089517D">
        <w:t> ») dans le cadre de son recours contre la Ville</w:t>
      </w:r>
      <w:bookmarkEnd w:id="13"/>
      <w:r w:rsidRPr="0089517D">
        <w:rPr>
          <w:rStyle w:val="Appelnotedebasdep"/>
        </w:rPr>
        <w:footnoteReference w:id="1"/>
      </w:r>
      <w:r w:rsidRPr="0089517D">
        <w:t xml:space="preserve">. </w:t>
      </w:r>
    </w:p>
    <w:p w14:paraId="79FA5C74" w14:textId="77777777" w:rsidR="003E05D3" w:rsidRPr="0089517D" w:rsidRDefault="003E05D3" w:rsidP="003E05D3">
      <w:pPr>
        <w:pStyle w:val="Titre1"/>
        <w:numPr>
          <w:ilvl w:val="0"/>
          <w:numId w:val="19"/>
        </w:numPr>
        <w:spacing w:line="240" w:lineRule="auto"/>
        <w:rPr>
          <w:caps/>
          <w:sz w:val="24"/>
          <w:szCs w:val="24"/>
        </w:rPr>
      </w:pPr>
      <w:r w:rsidRPr="0089517D">
        <w:rPr>
          <w:caps/>
          <w:sz w:val="24"/>
          <w:szCs w:val="24"/>
        </w:rPr>
        <w:t>Contexte</w:t>
      </w:r>
    </w:p>
    <w:p w14:paraId="14B9BADD" w14:textId="279C79AC" w:rsidR="003E05D3" w:rsidRPr="0089517D" w:rsidRDefault="003E05D3" w:rsidP="003E05D3">
      <w:pPr>
        <w:pStyle w:val="Paragraphe"/>
        <w:spacing w:line="240" w:lineRule="auto"/>
      </w:pPr>
      <w:r w:rsidRPr="0089517D">
        <w:t>En mai 2023, la Ville lance un appel d’offres pour la construction de la phase 3 du collecteur industriel de Montréal-Est. Trois entrepreneurs déposent une soumission, dont EBC</w:t>
      </w:r>
      <w:bookmarkStart w:id="14" w:name="_Hlk225373267"/>
      <w:r w:rsidRPr="0089517D">
        <w:t>. La Ville rejette une des trois soumissions et rend public le prix des deux autres</w:t>
      </w:r>
      <w:r w:rsidRPr="0089517D">
        <w:rPr>
          <w:rStyle w:val="Appelnotedebasdep"/>
        </w:rPr>
        <w:footnoteReference w:id="2"/>
      </w:r>
      <w:r w:rsidRPr="0089517D">
        <w:t xml:space="preserve"> au début </w:t>
      </w:r>
      <w:r w:rsidR="00E71D23" w:rsidRPr="0089517D">
        <w:t xml:space="preserve">de </w:t>
      </w:r>
      <w:r w:rsidRPr="0089517D">
        <w:t>novembre 2023</w:t>
      </w:r>
      <w:bookmarkStart w:id="15" w:name="_Hlk225373247"/>
      <w:r w:rsidRPr="0089517D">
        <w:t xml:space="preserve"> : celle d’EBC est de près de 96 M$ et celle du deuxième soumissionnaire de près de 133 M$. </w:t>
      </w:r>
      <w:bookmarkEnd w:id="14"/>
      <w:bookmarkEnd w:id="15"/>
      <w:r w:rsidRPr="0089517D">
        <w:t xml:space="preserve">Fin novembre 2023, le troisième soumissionnaire conteste la décision de la Ville d’avoir rejeté sa soumission, laquelle décide en décembre 2023 d’annuler l’appel d’offres au motif qu’il y aurait un vice de procédure majeur entachant irrémédiablement l’intégrité du processus. </w:t>
      </w:r>
    </w:p>
    <w:p w14:paraId="34427957" w14:textId="77777777" w:rsidR="003E05D3" w:rsidRPr="0089517D" w:rsidRDefault="003E05D3" w:rsidP="003E05D3">
      <w:pPr>
        <w:pStyle w:val="Paragraphe"/>
        <w:spacing w:line="240" w:lineRule="auto"/>
      </w:pPr>
      <w:r w:rsidRPr="0089517D">
        <w:t xml:space="preserve">Dans les jours qui suivent, EBC met en demeure la Ville de rétablir le processus et de lui octroyer le contrat, ce qu’elle refuse. En novembre 2024, EBC entreprend un recours contre la Ville afin de réclamer les profits non réalisés dans le cadre du contrat que la Ville aurait illégalement refusé de lui octroyer. Dans sa demande introductive d’instance, EBC ne dévoile pas la somme réclamée à la Ville, se contentant d’alléguer qu’elle est largement supérieure à 100 000 $. Elle dépose en janvier 2025 un avis de gestion afin de demander une ordonnance de confidentialité quant au montant de sa réclamation et des modalités protégeant la confidentialité de cette information lors de sa transmission à la Ville, lequel avis de gestion n’est appuyé d’aucune preuve. </w:t>
      </w:r>
    </w:p>
    <w:p w14:paraId="7535DC43" w14:textId="77777777" w:rsidR="003E05D3" w:rsidRPr="0089517D" w:rsidRDefault="003E05D3" w:rsidP="003E05D3">
      <w:pPr>
        <w:pStyle w:val="Paragraphe"/>
        <w:spacing w:line="240" w:lineRule="auto"/>
      </w:pPr>
      <w:r w:rsidRPr="0089517D">
        <w:t xml:space="preserve">La Ville conteste cette demande et présente une demande de scission d’instance afin que le tribunal détermine d’abord si la Ville a commis une faute, avant de se livrer à l’analyse du quantum des dommages-intérêts, le cas échéant. La Ville y allègue que la scission permettra de simplifier la première étape du dossier et qu’elle pourrait même y mettre un terme, si le tribunal conclut à l’absence de faute de sa part. Elle ajoute qu’un nouvel appel d’offres public devra être lancé éventuellement, car la construction de la phase 3 du collecteur industriel de Montréal-Est est toujours requise, bien qu’aucune date ne soit encore fixée à ce sujet. </w:t>
      </w:r>
    </w:p>
    <w:p w14:paraId="2E4FF87E" w14:textId="77777777" w:rsidR="003E05D3" w:rsidRPr="0089517D" w:rsidRDefault="003E05D3" w:rsidP="003E05D3">
      <w:pPr>
        <w:pStyle w:val="Paragraphe"/>
        <w:spacing w:line="240" w:lineRule="auto"/>
      </w:pPr>
      <w:r w:rsidRPr="0089517D">
        <w:lastRenderedPageBreak/>
        <w:t xml:space="preserve">EBC consent à la scission d’instance demandée, laquelle est accordée séance tenante le 20 février 2025. Le jour même, les parties plaident la demande d’ordonnance de confidentialité présentée par EBC qui est accueillie le 25 février 2025. </w:t>
      </w:r>
    </w:p>
    <w:p w14:paraId="4CFCC0E1" w14:textId="77777777" w:rsidR="003E05D3" w:rsidRPr="0089517D" w:rsidRDefault="003E05D3" w:rsidP="003E05D3">
      <w:pPr>
        <w:pStyle w:val="Titre1"/>
        <w:numPr>
          <w:ilvl w:val="0"/>
          <w:numId w:val="19"/>
        </w:numPr>
        <w:spacing w:line="240" w:lineRule="auto"/>
        <w:rPr>
          <w:caps/>
          <w:sz w:val="24"/>
          <w:szCs w:val="24"/>
        </w:rPr>
      </w:pPr>
      <w:r w:rsidRPr="0089517D">
        <w:rPr>
          <w:caps/>
          <w:sz w:val="24"/>
          <w:szCs w:val="24"/>
        </w:rPr>
        <w:t>Jugement entrepris</w:t>
      </w:r>
    </w:p>
    <w:p w14:paraId="1780600B" w14:textId="5F0DE057" w:rsidR="003E05D3" w:rsidRPr="0089517D" w:rsidRDefault="003E05D3" w:rsidP="003E05D3">
      <w:pPr>
        <w:pStyle w:val="Paragraphe"/>
        <w:spacing w:line="240" w:lineRule="auto"/>
      </w:pPr>
      <w:r w:rsidRPr="0089517D">
        <w:t>La juge énonce les principes de droit applicables en matière de publicité du processus judiciaire et d’ordonnance de confidentialité. Elle rappelle également les principes fondamentaux d’équité, d’intégrité et de transparence</w:t>
      </w:r>
      <w:r w:rsidR="00E71D23" w:rsidRPr="0089517D">
        <w:t xml:space="preserve"> </w:t>
      </w:r>
      <w:r w:rsidRPr="0089517D">
        <w:t>qui régissent, dans l’intérêt public, les processus d’appel d’offres des municipalités</w:t>
      </w:r>
      <w:r w:rsidRPr="0089517D">
        <w:rPr>
          <w:rStyle w:val="Appelnotedebasdep"/>
        </w:rPr>
        <w:footnoteReference w:id="3"/>
      </w:r>
      <w:r w:rsidRPr="0089517D">
        <w:t xml:space="preserve">. Elle conclut que la divulgation de la somme réclamée constitue un risque sérieux pour un intérêt commercial important, considérant le futur appel d’offres auquel EBC souhaitera certainement participer : </w:t>
      </w:r>
    </w:p>
    <w:p w14:paraId="32F1337B" w14:textId="564BF795" w:rsidR="003E05D3" w:rsidRPr="0089517D" w:rsidRDefault="003E05D3" w:rsidP="003E05D3">
      <w:pPr>
        <w:pStyle w:val="Citationenretrait"/>
        <w:spacing w:line="240" w:lineRule="auto"/>
        <w:rPr>
          <w:lang w:eastAsia="fr-CA"/>
        </w:rPr>
      </w:pPr>
      <w:r w:rsidRPr="0089517D">
        <w:t>[</w:t>
      </w:r>
      <w:bookmarkStart w:id="16" w:name="par26"/>
      <w:r w:rsidRPr="0089517D">
        <w:t>26</w:t>
      </w:r>
      <w:bookmarkEnd w:id="16"/>
      <w:r w:rsidRPr="0089517D">
        <w:t>]</w:t>
      </w:r>
      <w:r w:rsidR="00BE3C97" w:rsidRPr="0089517D">
        <w:rPr>
          <w:sz w:val="14"/>
          <w:szCs w:val="14"/>
        </w:rPr>
        <w:tab/>
      </w:r>
      <w:r w:rsidRPr="0089517D">
        <w:t>Dans ce contexte, il est préjudiciable, pour EBC et pour le public, que des concurrents puissent avoir accès à l’information concernant la perte de profits non réclamés de EBC à l’occasion du précédent appel d’offres annulé. En effet, ceux</w:t>
      </w:r>
      <w:r w:rsidR="00E71D23" w:rsidRPr="0089517D">
        <w:noBreakHyphen/>
      </w:r>
      <w:r w:rsidRPr="0089517D">
        <w:t>ci pourront alors déterminer le prix coûtant de la soumission d’EBC. Le marché pourra être renseigné sur la manière de concevoir ce prix. L’intégrité du processus d’appel d’offres pourra alors être fragilisée, de telle sorte à préjudicier la Ville et le public.</w:t>
      </w:r>
    </w:p>
    <w:p w14:paraId="6A50B2F9" w14:textId="3B6605AB" w:rsidR="003E05D3" w:rsidRPr="0089517D" w:rsidRDefault="003E05D3" w:rsidP="003E05D3">
      <w:pPr>
        <w:pStyle w:val="Citationenretrait"/>
        <w:spacing w:line="240" w:lineRule="auto"/>
      </w:pPr>
      <w:r w:rsidRPr="0089517D">
        <w:t>[</w:t>
      </w:r>
      <w:bookmarkStart w:id="17" w:name="par27"/>
      <w:r w:rsidRPr="0089517D">
        <w:t>27</w:t>
      </w:r>
      <w:bookmarkEnd w:id="17"/>
      <w:r w:rsidRPr="0089517D">
        <w:t>]</w:t>
      </w:r>
      <w:r w:rsidR="00BE3C97" w:rsidRPr="0089517D">
        <w:rPr>
          <w:sz w:val="14"/>
          <w:szCs w:val="14"/>
        </w:rPr>
        <w:tab/>
      </w:r>
      <w:r w:rsidRPr="0089517D">
        <w:t>Ce risque est réel et important et menace sérieusement l’intérêt commercial d’EBC.</w:t>
      </w:r>
      <w:r w:rsidRPr="0089517D">
        <w:rPr>
          <w:rStyle w:val="Appelnotedebasdep"/>
        </w:rPr>
        <w:footnoteReference w:id="4"/>
      </w:r>
    </w:p>
    <w:p w14:paraId="34EEEAA0" w14:textId="02C88882" w:rsidR="003E05D3" w:rsidRPr="0089517D" w:rsidRDefault="003E05D3" w:rsidP="003E05D3">
      <w:pPr>
        <w:pStyle w:val="Paragraphe"/>
        <w:spacing w:line="240" w:lineRule="auto"/>
      </w:pPr>
      <w:r w:rsidRPr="0089517D">
        <w:t>La juge ordonne que la somme réclamée demeure confidentielle « jusqu’à la plus hâtive de la date du jugement au fond sur la première étape relative à la responsabilité de la Ville […] ou de l’octroi du contrat dans le cadre d’un nouvel appel d’offres public pour la construction de la Phase 3 du Collecteur industriel dans la Ville de Montréal</w:t>
      </w:r>
      <w:r w:rsidR="00E71D23" w:rsidRPr="0089517D">
        <w:rPr>
          <w:vertAlign w:val="subscript"/>
        </w:rPr>
        <w:noBreakHyphen/>
      </w:r>
      <w:r w:rsidRPr="0089517D">
        <w:t>Est »</w:t>
      </w:r>
      <w:r w:rsidRPr="0089517D">
        <w:rPr>
          <w:rStyle w:val="Appelnotedebasdep"/>
        </w:rPr>
        <w:footnoteReference w:id="5"/>
      </w:r>
      <w:r w:rsidRPr="0089517D">
        <w:t>. Selon elle, seule cette mesure permet d’écarter le risque sérieux de manière proportionnelle</w:t>
      </w:r>
      <w:r w:rsidR="00C83064" w:rsidRPr="0089517D">
        <w:t>,</w:t>
      </w:r>
      <w:r w:rsidRPr="0089517D">
        <w:t xml:space="preserve"> puisqu’elle est restreinte à la somme en litige et limitée dans le temps.  </w:t>
      </w:r>
    </w:p>
    <w:p w14:paraId="4CABD2BE" w14:textId="77777777" w:rsidR="003E05D3" w:rsidRPr="0089517D" w:rsidRDefault="003E05D3" w:rsidP="003E05D3">
      <w:pPr>
        <w:pStyle w:val="Paragraphe"/>
        <w:spacing w:line="240" w:lineRule="auto"/>
      </w:pPr>
      <w:r w:rsidRPr="0089517D">
        <w:t xml:space="preserve">La juge ordonne également que les avocats de la Ville reçoivent, au moyen d’une enveloppe scellée, le montant de profit non réalisé réclamé et qu’ils traitent cette information comme si elle était assujettie à une obligation implicite de confidentialité.  </w:t>
      </w:r>
    </w:p>
    <w:p w14:paraId="76C09BF6" w14:textId="77777777" w:rsidR="003E05D3" w:rsidRPr="0089517D" w:rsidRDefault="003E05D3" w:rsidP="003E05D3">
      <w:pPr>
        <w:pStyle w:val="Titre1"/>
        <w:numPr>
          <w:ilvl w:val="0"/>
          <w:numId w:val="19"/>
        </w:numPr>
        <w:spacing w:line="240" w:lineRule="auto"/>
        <w:rPr>
          <w:caps/>
          <w:sz w:val="24"/>
          <w:szCs w:val="24"/>
        </w:rPr>
      </w:pPr>
      <w:r w:rsidRPr="0089517D">
        <w:rPr>
          <w:caps/>
          <w:sz w:val="24"/>
          <w:szCs w:val="24"/>
        </w:rPr>
        <w:t>Moyens d’appel</w:t>
      </w:r>
    </w:p>
    <w:p w14:paraId="562C1D82" w14:textId="75E7DA35" w:rsidR="003E05D3" w:rsidRPr="0089517D" w:rsidRDefault="003E05D3" w:rsidP="003E05D3">
      <w:pPr>
        <w:pStyle w:val="Paragraphe"/>
        <w:spacing w:line="240" w:lineRule="auto"/>
      </w:pPr>
      <w:r w:rsidRPr="0089517D">
        <w:t>La Ville plaide trois moyens d’appel que conteste EBC</w:t>
      </w:r>
      <w:r w:rsidR="00BE3C97" w:rsidRPr="0089517D">
        <w:t> </w:t>
      </w:r>
      <w:r w:rsidRPr="0089517D">
        <w:t xml:space="preserve">: (1) la juge aurait commis une erreur de droit en interprétant l’article 12 </w:t>
      </w:r>
      <w:r w:rsidRPr="0089517D">
        <w:rPr>
          <w:i/>
          <w:iCs/>
        </w:rPr>
        <w:t>C.p.c</w:t>
      </w:r>
      <w:r w:rsidRPr="0089517D">
        <w:t xml:space="preserve">.; (2) elle aurait commis une erreur de fait et de droit en ordonnant la confidentialité de la somme réclamée en l’absence d’une </w:t>
      </w:r>
      <w:r w:rsidRPr="0089517D">
        <w:lastRenderedPageBreak/>
        <w:t xml:space="preserve">démonstration, d’une part, de l’existence d’un risque sérieux pour un intérêt important et, d’autre part, de la nécessité de rendre l’ordonnance pour écarter ce risque; et (3) elle aurait erré en droit en omettant d’analyser si les avantages de l’ordonnance de confidentialité l’emportaient sur ses effets négatifs.  </w:t>
      </w:r>
    </w:p>
    <w:p w14:paraId="7574E8DA" w14:textId="77777777" w:rsidR="003E05D3" w:rsidRPr="0089517D" w:rsidRDefault="003E05D3" w:rsidP="003E05D3">
      <w:pPr>
        <w:pStyle w:val="Paragraphe"/>
        <w:spacing w:line="240" w:lineRule="auto"/>
      </w:pPr>
      <w:r w:rsidRPr="0089517D">
        <w:t xml:space="preserve">Je conclus que l’article 12 </w:t>
      </w:r>
      <w:r w:rsidRPr="0089517D">
        <w:rPr>
          <w:i/>
          <w:iCs/>
        </w:rPr>
        <w:t>C.p.c.</w:t>
      </w:r>
      <w:r w:rsidRPr="0089517D">
        <w:t xml:space="preserve"> permet que la somme réclamée dans un recours puisse être l’objet d’une ordonnance de confidentialité. Cependant, la juge commet une erreur révisable en concluant, en l’absence de toute preuve, qu’il existe un risque sérieux qui menace un intérêt important justifiant de prononcer une ordonnance de confidentialité, et en omettant d’analyser si l’ordonnance demandée respecte le principe de proportionnalité. Je considère que les critères applicables pour rendre une ordonnance de confidentialité ne sont pas satisfaits. </w:t>
      </w:r>
    </w:p>
    <w:p w14:paraId="2115F13A" w14:textId="77777777" w:rsidR="003E05D3" w:rsidRPr="0089517D" w:rsidRDefault="003E05D3" w:rsidP="003E05D3">
      <w:pPr>
        <w:pStyle w:val="Titre1"/>
        <w:numPr>
          <w:ilvl w:val="0"/>
          <w:numId w:val="19"/>
        </w:numPr>
        <w:spacing w:line="240" w:lineRule="auto"/>
        <w:rPr>
          <w:caps/>
          <w:sz w:val="24"/>
          <w:szCs w:val="24"/>
        </w:rPr>
      </w:pPr>
      <w:r w:rsidRPr="0089517D">
        <w:rPr>
          <w:caps/>
          <w:sz w:val="24"/>
          <w:szCs w:val="24"/>
        </w:rPr>
        <w:t>Analyse</w:t>
      </w:r>
    </w:p>
    <w:p w14:paraId="61D405A0" w14:textId="77777777" w:rsidR="003E05D3" w:rsidRPr="0089517D" w:rsidRDefault="003E05D3" w:rsidP="003E05D3">
      <w:pPr>
        <w:pStyle w:val="Titre3"/>
        <w:spacing w:line="240" w:lineRule="auto"/>
        <w:rPr>
          <w:b/>
          <w:bCs/>
        </w:rPr>
      </w:pPr>
      <w:r w:rsidRPr="0089517D">
        <w:rPr>
          <w:b/>
          <w:bCs/>
        </w:rPr>
        <w:t xml:space="preserve">4.1. Interprétation de l’article 12 </w:t>
      </w:r>
      <w:r w:rsidRPr="0089517D">
        <w:rPr>
          <w:b/>
          <w:bCs/>
          <w:i/>
          <w:iCs/>
        </w:rPr>
        <w:t>C.p.c</w:t>
      </w:r>
      <w:r w:rsidRPr="0089517D">
        <w:rPr>
          <w:b/>
          <w:bCs/>
        </w:rPr>
        <w:t xml:space="preserve">. </w:t>
      </w:r>
    </w:p>
    <w:p w14:paraId="1DE8B6E0" w14:textId="77777777" w:rsidR="003E05D3" w:rsidRPr="0089517D" w:rsidRDefault="003E05D3" w:rsidP="003E05D3">
      <w:pPr>
        <w:pStyle w:val="Paragraphe"/>
        <w:spacing w:line="240" w:lineRule="auto"/>
      </w:pPr>
      <w:r w:rsidRPr="0089517D">
        <w:t xml:space="preserve">La Ville plaide que la somme réclamée dans une demande introductive d’instance n’est pas un « renseignement » dont la divulgation peut être restreinte en vertu de l’article 12 </w:t>
      </w:r>
      <w:r w:rsidRPr="0089517D">
        <w:rPr>
          <w:i/>
          <w:iCs/>
        </w:rPr>
        <w:t>C.p.c.</w:t>
      </w:r>
      <w:r w:rsidRPr="0089517D">
        <w:t xml:space="preserve">, puisqu’il s’agit de l’objet même du recours. Les parties n’ont recensé aucun précédent jurisprudentiel faisant droit à une telle ordonnance qui, selon la Ville, entraîne une atteinte inédite au caractère public du processus judiciaire. </w:t>
      </w:r>
    </w:p>
    <w:p w14:paraId="03BC6A7F" w14:textId="77777777" w:rsidR="003E05D3" w:rsidRPr="0089517D" w:rsidRDefault="003E05D3" w:rsidP="003E05D3">
      <w:pPr>
        <w:pStyle w:val="Paragraphe"/>
        <w:spacing w:line="240" w:lineRule="auto"/>
      </w:pPr>
      <w:r w:rsidRPr="0089517D">
        <w:t>Dans ses motifs, la juge ne s’attarde pas à cet argument. Je conclus qu’il est mal fondé.</w:t>
      </w:r>
    </w:p>
    <w:p w14:paraId="6E4E49AC" w14:textId="77777777" w:rsidR="003E05D3" w:rsidRPr="0089517D" w:rsidRDefault="003E05D3" w:rsidP="003E05D3">
      <w:pPr>
        <w:pStyle w:val="Paragraphe"/>
        <w:spacing w:line="240" w:lineRule="auto"/>
      </w:pPr>
      <w:r w:rsidRPr="0089517D">
        <w:t xml:space="preserve">L’article 11 al. 1 </w:t>
      </w:r>
      <w:r w:rsidRPr="0089517D">
        <w:rPr>
          <w:i/>
          <w:iCs/>
        </w:rPr>
        <w:t>C.p.c.</w:t>
      </w:r>
      <w:r w:rsidRPr="0089517D">
        <w:t xml:space="preserve"> énonce le principe général du caractère public de la procédure devant les tribunaux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3E05D3" w:rsidRPr="0089517D" w14:paraId="3A5CAF7E" w14:textId="77777777" w:rsidTr="00856AE5">
        <w:tc>
          <w:tcPr>
            <w:tcW w:w="4676" w:type="dxa"/>
          </w:tcPr>
          <w:p w14:paraId="4C6D4CE3" w14:textId="77777777" w:rsidR="003E05D3" w:rsidRPr="0089517D" w:rsidRDefault="003E05D3" w:rsidP="00D01DB3">
            <w:pPr>
              <w:pStyle w:val="Tableaugauchefranais"/>
              <w:spacing w:line="240" w:lineRule="auto"/>
              <w:ind w:right="142"/>
              <w:jc w:val="both"/>
            </w:pPr>
            <w:r w:rsidRPr="0089517D">
              <w:rPr>
                <w:b/>
                <w:bCs/>
              </w:rPr>
              <w:t>11.</w:t>
            </w:r>
            <w:r w:rsidRPr="0089517D">
              <w:t xml:space="preserve"> La justice civile administrée par les tribunaux de l’ordre judiciaire est publique. Tous peuvent assister aux audiences des tribunaux où qu’elles se tiennent et prendre connaissance des dossiers et des inscriptions aux registres des tribunaux.</w:t>
            </w:r>
          </w:p>
          <w:p w14:paraId="182B6E9E" w14:textId="77777777" w:rsidR="003E05D3" w:rsidRPr="0089517D" w:rsidRDefault="003E05D3" w:rsidP="00D01DB3">
            <w:pPr>
              <w:pStyle w:val="Tableaugauchefranais"/>
              <w:spacing w:line="240" w:lineRule="auto"/>
              <w:ind w:right="142"/>
              <w:jc w:val="both"/>
            </w:pPr>
            <w:r w:rsidRPr="0089517D">
              <w:t>[…]</w:t>
            </w:r>
          </w:p>
        </w:tc>
        <w:tc>
          <w:tcPr>
            <w:tcW w:w="4676" w:type="dxa"/>
          </w:tcPr>
          <w:p w14:paraId="553F682F" w14:textId="6AD5E6D9" w:rsidR="003E05D3" w:rsidRPr="0089517D" w:rsidRDefault="003E05D3" w:rsidP="00BE3C97">
            <w:pPr>
              <w:pStyle w:val="Tableaudroiteanglais"/>
              <w:spacing w:line="240" w:lineRule="auto"/>
              <w:ind w:left="142"/>
            </w:pPr>
            <w:r w:rsidRPr="0089517D">
              <w:rPr>
                <w:b/>
                <w:bCs/>
              </w:rPr>
              <w:t>11.</w:t>
            </w:r>
            <w:r w:rsidRPr="0089517D">
              <w:t xml:space="preserve"> Civil justice administered by the courts is public. Anyone may attend court hearings wherever they are held, and have access to court records and entries in the registers of the courts.</w:t>
            </w:r>
          </w:p>
          <w:p w14:paraId="2D7D6EC0" w14:textId="77777777" w:rsidR="00BE3C97" w:rsidRPr="0089517D" w:rsidRDefault="00BE3C97" w:rsidP="00D01DB3">
            <w:pPr>
              <w:pStyle w:val="Tableaudroiteanglais"/>
              <w:spacing w:line="240" w:lineRule="auto"/>
              <w:ind w:left="142"/>
            </w:pPr>
          </w:p>
          <w:p w14:paraId="7C8CA32B" w14:textId="77777777" w:rsidR="003E05D3" w:rsidRPr="0089517D" w:rsidRDefault="003E05D3" w:rsidP="00D01DB3">
            <w:pPr>
              <w:pStyle w:val="Tableaudroiteanglais"/>
              <w:spacing w:line="240" w:lineRule="auto"/>
              <w:ind w:left="142"/>
            </w:pPr>
            <w:r w:rsidRPr="0089517D">
              <w:t>[…]</w:t>
            </w:r>
          </w:p>
        </w:tc>
      </w:tr>
    </w:tbl>
    <w:p w14:paraId="10C54CD1" w14:textId="77777777" w:rsidR="003E05D3" w:rsidRPr="0089517D" w:rsidRDefault="003E05D3" w:rsidP="003E05D3">
      <w:pPr>
        <w:pStyle w:val="Paragraphe"/>
        <w:spacing w:line="240" w:lineRule="auto"/>
      </w:pPr>
      <w:r w:rsidRPr="0089517D">
        <w:t>La règle est donc la publicité du processus judiciaire, alors que toute restriction à ce principe constitue l’exception</w:t>
      </w:r>
      <w:r w:rsidRPr="0089517D">
        <w:rPr>
          <w:rStyle w:val="Appelnotedebasdep"/>
        </w:rPr>
        <w:footnoteReference w:id="6"/>
      </w:r>
      <w:r w:rsidRPr="0089517D">
        <w:t xml:space="preserve">. L’article 12 </w:t>
      </w:r>
      <w:r w:rsidRPr="0089517D">
        <w:rPr>
          <w:i/>
          <w:iCs/>
        </w:rPr>
        <w:t>C.p.c.</w:t>
      </w:r>
      <w:r w:rsidRPr="0089517D">
        <w:t xml:space="preserve"> prévoit dans quels cas les tribunaux peuvent ordonner des restrictions à ce principe général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3E05D3" w:rsidRPr="0089517D" w14:paraId="6F1956E3" w14:textId="77777777" w:rsidTr="00856AE5">
        <w:tc>
          <w:tcPr>
            <w:tcW w:w="4676" w:type="dxa"/>
          </w:tcPr>
          <w:p w14:paraId="7C20B1CF" w14:textId="77777777" w:rsidR="003E05D3" w:rsidRPr="0089517D" w:rsidRDefault="003E05D3" w:rsidP="00CC3004">
            <w:pPr>
              <w:pStyle w:val="Tableaugauchefranais"/>
              <w:spacing w:line="240" w:lineRule="auto"/>
              <w:ind w:right="142"/>
              <w:jc w:val="both"/>
            </w:pPr>
            <w:r w:rsidRPr="0089517D">
              <w:rPr>
                <w:b/>
                <w:bCs/>
              </w:rPr>
              <w:lastRenderedPageBreak/>
              <w:t>12.</w:t>
            </w:r>
            <w:r w:rsidRPr="0089517D">
              <w:t xml:space="preserve"> Le tribunal peut faire exception au principe de la publicité s’il considère que </w:t>
            </w:r>
            <w:r w:rsidRPr="0089517D">
              <w:rPr>
                <w:u w:val="single"/>
              </w:rPr>
              <w:t>l’ordre public</w:t>
            </w:r>
            <w:r w:rsidRPr="0089517D">
              <w:t xml:space="preserve">, notamment la protection de la dignité des personnes concernées par une demande, </w:t>
            </w:r>
            <w:r w:rsidRPr="0089517D">
              <w:rPr>
                <w:u w:val="single"/>
              </w:rPr>
              <w:t>ou la protection d’intérêts légitimes importants</w:t>
            </w:r>
            <w:r w:rsidRPr="0089517D">
              <w:t xml:space="preserve"> exige que l’audience se tienne à huis clos, que soit interdit ou restreint l’accès à un document ou </w:t>
            </w:r>
            <w:r w:rsidRPr="0089517D">
              <w:rPr>
                <w:u w:val="single"/>
              </w:rPr>
              <w:t>la divulgation ou la diffusion des renseignements</w:t>
            </w:r>
            <w:r w:rsidRPr="0089517D">
              <w:t xml:space="preserve"> et des documents qu’il indique ou que soit assuré l’anonymat des personnes concernées.</w:t>
            </w:r>
          </w:p>
        </w:tc>
        <w:tc>
          <w:tcPr>
            <w:tcW w:w="4676" w:type="dxa"/>
          </w:tcPr>
          <w:p w14:paraId="0D5241C5" w14:textId="77777777" w:rsidR="003E05D3" w:rsidRPr="0089517D" w:rsidRDefault="003E05D3" w:rsidP="00CC3004">
            <w:pPr>
              <w:pStyle w:val="Citationenretrait"/>
              <w:spacing w:before="0" w:line="240" w:lineRule="auto"/>
              <w:ind w:left="0"/>
              <w:rPr>
                <w:lang w:val="en-CA"/>
              </w:rPr>
            </w:pPr>
            <w:r w:rsidRPr="0089517D">
              <w:rPr>
                <w:b/>
                <w:bCs/>
                <w:lang w:val="en-CA"/>
              </w:rPr>
              <w:t>12.</w:t>
            </w:r>
            <w:r w:rsidRPr="0089517D">
              <w:rPr>
                <w:lang w:val="en-CA"/>
              </w:rPr>
              <w:t xml:space="preserve"> The court may make an exception to the principle of open proceedings if, in its opinion, </w:t>
            </w:r>
            <w:r w:rsidRPr="0089517D">
              <w:rPr>
                <w:u w:val="single"/>
                <w:lang w:val="en-CA"/>
              </w:rPr>
              <w:t>public order</w:t>
            </w:r>
            <w:r w:rsidRPr="0089517D">
              <w:rPr>
                <w:lang w:val="en-CA"/>
              </w:rPr>
              <w:t xml:space="preserve">, in particular the preservation of the dignity of the persons involved </w:t>
            </w:r>
            <w:r w:rsidRPr="0089517D">
              <w:rPr>
                <w:u w:val="single"/>
                <w:lang w:val="en-CA"/>
              </w:rPr>
              <w:t>or the protection of substantial and legitimate interests</w:t>
            </w:r>
            <w:r w:rsidRPr="0089517D">
              <w:rPr>
                <w:lang w:val="en-CA"/>
              </w:rPr>
              <w:t xml:space="preserve">, requires that the hearing be held in camera, that access to a document or </w:t>
            </w:r>
            <w:r w:rsidRPr="0089517D">
              <w:rPr>
                <w:u w:val="single"/>
                <w:lang w:val="en-CA"/>
              </w:rPr>
              <w:t>the disclosure or circulation of information</w:t>
            </w:r>
            <w:r w:rsidRPr="0089517D">
              <w:rPr>
                <w:lang w:val="en-CA"/>
              </w:rPr>
              <w:t xml:space="preserve"> or documents specified by the court be prohibited or restricted, or that the anonymity of the persons involved be protected.</w:t>
            </w:r>
          </w:p>
          <w:p w14:paraId="27B1E7E0" w14:textId="77777777" w:rsidR="003E05D3" w:rsidRPr="0089517D" w:rsidRDefault="003E05D3" w:rsidP="00BE3C97">
            <w:pPr>
              <w:pStyle w:val="Citationenretrait"/>
              <w:spacing w:line="240" w:lineRule="auto"/>
              <w:ind w:left="0"/>
              <w:jc w:val="right"/>
              <w:rPr>
                <w:lang w:val="en-CA"/>
              </w:rPr>
            </w:pPr>
            <w:r w:rsidRPr="0089517D">
              <w:rPr>
                <w:lang w:val="en-CA"/>
              </w:rPr>
              <w:t>[Soulignements ajoutés]</w:t>
            </w:r>
          </w:p>
        </w:tc>
      </w:tr>
    </w:tbl>
    <w:p w14:paraId="3A272C7D" w14:textId="77777777" w:rsidR="003E05D3" w:rsidRPr="0089517D" w:rsidRDefault="003E05D3" w:rsidP="003E05D3">
      <w:pPr>
        <w:pStyle w:val="Paragraphe"/>
        <w:spacing w:line="240" w:lineRule="auto"/>
      </w:pPr>
      <w:r w:rsidRPr="0089517D">
        <w:t xml:space="preserve">Comme le soulignent les juges Wagner et Kasirer dans l’arrêt de la Cour suprême </w:t>
      </w:r>
      <w:r w:rsidRPr="0089517D">
        <w:rPr>
          <w:i/>
          <w:iCs/>
        </w:rPr>
        <w:t xml:space="preserve">Media QMI </w:t>
      </w:r>
      <w:r w:rsidRPr="0089517D">
        <w:t>:</w:t>
      </w:r>
    </w:p>
    <w:p w14:paraId="0BE29227" w14:textId="2D0D72CE" w:rsidR="003E05D3" w:rsidRPr="0089517D" w:rsidRDefault="003E05D3" w:rsidP="00F26DCD">
      <w:pPr>
        <w:pStyle w:val="Citationenretrait"/>
        <w:spacing w:line="240" w:lineRule="auto"/>
      </w:pPr>
      <w:r w:rsidRPr="0089517D">
        <w:t>[100]</w:t>
      </w:r>
      <w:r w:rsidR="00A3230B" w:rsidRPr="0089517D">
        <w:tab/>
      </w:r>
      <w:r w:rsidRPr="0089517D">
        <w:t xml:space="preserve">[…] l’art. 12 </w:t>
      </w:r>
      <w:r w:rsidRPr="0089517D">
        <w:rPr>
          <w:i/>
          <w:iCs/>
        </w:rPr>
        <w:t>C.p.c.</w:t>
      </w:r>
      <w:r w:rsidRPr="0089517D">
        <w:t xml:space="preserve"> prévoit une exception dite « judiciaire » en codifiant les principes établis par notre Cour dans l’arrêt</w:t>
      </w:r>
      <w:r w:rsidR="00F26DCD" w:rsidRPr="0089517D">
        <w:t xml:space="preserve"> </w:t>
      </w:r>
      <w:r w:rsidRPr="0089517D">
        <w:rPr>
          <w:i/>
          <w:iCs/>
        </w:rPr>
        <w:t>Sierra</w:t>
      </w:r>
      <w:r w:rsidR="00F26DCD" w:rsidRPr="0089517D">
        <w:rPr>
          <w:i/>
          <w:iCs/>
        </w:rPr>
        <w:t xml:space="preserve"> </w:t>
      </w:r>
      <w:r w:rsidRPr="0089517D">
        <w:rPr>
          <w:i/>
          <w:iCs/>
        </w:rPr>
        <w:t>Club</w:t>
      </w:r>
      <w:r w:rsidRPr="0089517D">
        <w:t xml:space="preserve"> [</w:t>
      </w:r>
      <w:r w:rsidRPr="0089517D">
        <w:rPr>
          <w:i/>
          <w:iCs/>
        </w:rPr>
        <w:t>du Canada</w:t>
      </w:r>
      <w:r w:rsidRPr="0089517D">
        <w:t xml:space="preserve"> </w:t>
      </w:r>
      <w:r w:rsidRPr="0089517D">
        <w:rPr>
          <w:i/>
          <w:iCs/>
        </w:rPr>
        <w:t>c. Canada (Ministre des Finances)</w:t>
      </w:r>
      <w:r w:rsidRPr="0089517D">
        <w:t>, 2002 CSC 41], accordant ainsi au tribunal un pouvoir discrétionnaire lui permettant de faire exception au principe fondamental de la publicité des débats « s’il considère que l’ordre public [...] ou la protection d’intérêts légitimes importants [l’]exige » (voir </w:t>
      </w:r>
      <w:r w:rsidRPr="0089517D">
        <w:rPr>
          <w:i/>
          <w:iCs/>
        </w:rPr>
        <w:t>Commentaires de la ministre de la Justice</w:t>
      </w:r>
      <w:r w:rsidRPr="0089517D">
        <w:t>, art. 12).</w:t>
      </w:r>
      <w:r w:rsidRPr="0089517D">
        <w:rPr>
          <w:rStyle w:val="Appelnotedebasdep"/>
        </w:rPr>
        <w:footnoteReference w:id="7"/>
      </w:r>
    </w:p>
    <w:p w14:paraId="0E0D9460" w14:textId="77777777" w:rsidR="003E05D3" w:rsidRPr="0089517D" w:rsidRDefault="003E05D3" w:rsidP="003E05D3">
      <w:pPr>
        <w:pStyle w:val="Paragraphe"/>
        <w:spacing w:line="240" w:lineRule="auto"/>
      </w:pPr>
      <w:r w:rsidRPr="0089517D">
        <w:t>Certes, les exceptions aux principes de la publicité du processus judiciaire doivent être interprétées de façon stricte</w:t>
      </w:r>
      <w:r w:rsidRPr="0089517D">
        <w:rPr>
          <w:rStyle w:val="Appelnotedebasdep"/>
        </w:rPr>
        <w:footnoteReference w:id="8"/>
      </w:r>
      <w:r w:rsidRPr="0089517D">
        <w:t>. Toutefois, cette règle d’interprétation ne justifie pas de vider de son sens une expression claire et sans ambiguïté employée par le législateur</w:t>
      </w:r>
      <w:r w:rsidRPr="0089517D">
        <w:rPr>
          <w:rStyle w:val="Appelnotedebasdep"/>
        </w:rPr>
        <w:footnoteReference w:id="9"/>
      </w:r>
      <w:r w:rsidRPr="0089517D">
        <w:t>. On ne peut écarter la règle générale rappelée régulièrement par la Cour suprême voulant que « l’interprétation des lois consiste à dégager l’intention du législateur en examinant les termes d’une loi dans leur contexte global en suivant le sens ordinaire et grammatical qui s’harmonise avec l’économie et l’objet de cette loi »</w:t>
      </w:r>
      <w:r w:rsidRPr="0089517D">
        <w:rPr>
          <w:rStyle w:val="Appelnotedebasdep"/>
        </w:rPr>
        <w:footnoteReference w:id="10"/>
      </w:r>
      <w:r w:rsidRPr="0089517D">
        <w:t xml:space="preserve">. </w:t>
      </w:r>
    </w:p>
    <w:p w14:paraId="3A01CED0" w14:textId="796FA6A5" w:rsidR="003E05D3" w:rsidRPr="0089517D" w:rsidRDefault="003E05D3" w:rsidP="003E05D3">
      <w:pPr>
        <w:pStyle w:val="Paragraphe"/>
        <w:spacing w:line="240" w:lineRule="auto"/>
      </w:pPr>
      <w:r w:rsidRPr="0089517D">
        <w:t xml:space="preserve">Le mot « renseignements » employé par le législateur à l’article 12 </w:t>
      </w:r>
      <w:r w:rsidRPr="0089517D">
        <w:rPr>
          <w:i/>
          <w:iCs/>
        </w:rPr>
        <w:t>C.p.c.</w:t>
      </w:r>
      <w:r w:rsidRPr="0089517D">
        <w:t xml:space="preserve"> est générique et défini largement dans son sens courant</w:t>
      </w:r>
      <w:r w:rsidR="000D6127" w:rsidRPr="0089517D">
        <w:t> </w:t>
      </w:r>
      <w:r w:rsidRPr="0089517D">
        <w:t xml:space="preserve">: « Indication, information, </w:t>
      </w:r>
      <w:r w:rsidRPr="0089517D">
        <w:lastRenderedPageBreak/>
        <w:t>éclaircissement donnés sur quelqu’un, quelque chose »</w:t>
      </w:r>
      <w:r w:rsidRPr="0089517D">
        <w:rPr>
          <w:rStyle w:val="Appelnotedebasdep"/>
        </w:rPr>
        <w:footnoteReference w:id="11"/>
      </w:r>
      <w:r w:rsidRPr="0089517D">
        <w:t xml:space="preserve">. Le </w:t>
      </w:r>
      <w:r w:rsidRPr="0089517D">
        <w:rPr>
          <w:i/>
          <w:iCs/>
        </w:rPr>
        <w:t>Code de procédure civile</w:t>
      </w:r>
      <w:r w:rsidRPr="0089517D">
        <w:t xml:space="preserve"> emploie ce mot plus de 25 fois, sans le définir autrement que selon son sens courant</w:t>
      </w:r>
      <w:r w:rsidRPr="0089517D">
        <w:rPr>
          <w:rStyle w:val="Appelnotedebasdep"/>
        </w:rPr>
        <w:footnoteReference w:id="12"/>
      </w:r>
      <w:r w:rsidRPr="0089517D">
        <w:t xml:space="preserve">. En somme, rien ne justifie de limiter la portée générale du mot « renseignements » employé par le législateur à l’article 12 </w:t>
      </w:r>
      <w:r w:rsidRPr="0089517D">
        <w:rPr>
          <w:i/>
          <w:iCs/>
        </w:rPr>
        <w:t>C.p.c.</w:t>
      </w:r>
      <w:r w:rsidRPr="0089517D">
        <w:t xml:space="preserve"> de manière à conclure qu’il ne s’applique pas aux sommes réclamées dans une procédure judiciaire, parce qu’il s’agit de l’objet du litige. Si tel avait été l’intention du législateur, il l’aurait précisé à même le texte de l’article, ce qu’il n’a pas fait</w:t>
      </w:r>
      <w:r w:rsidRPr="0089517D">
        <w:rPr>
          <w:rStyle w:val="Appelnotedebasdep"/>
        </w:rPr>
        <w:footnoteReference w:id="13"/>
      </w:r>
      <w:r w:rsidRPr="0089517D">
        <w:t xml:space="preserve">. </w:t>
      </w:r>
    </w:p>
    <w:p w14:paraId="7267D448" w14:textId="77777777" w:rsidR="003E05D3" w:rsidRPr="0089517D" w:rsidRDefault="003E05D3" w:rsidP="003E05D3">
      <w:pPr>
        <w:pStyle w:val="Paragraphe"/>
        <w:spacing w:line="240" w:lineRule="auto"/>
      </w:pPr>
      <w:r w:rsidRPr="0089517D">
        <w:t xml:space="preserve">Les parties et la juge n’ont trouvé aucun précédent jurisprudentiel québécois qui ordonnait l’application de mesures de confidentialité à la somme réclamée dans le cadre d’une poursuite déposée devant les tribunaux. Cela ne convainc pas qu’il faille nécessairement restreindre le sens à donner au mot « renseignements » qu’emploie le législateur à l’article 12 </w:t>
      </w:r>
      <w:r w:rsidRPr="0089517D">
        <w:rPr>
          <w:i/>
          <w:iCs/>
        </w:rPr>
        <w:t>C.p.c.,</w:t>
      </w:r>
      <w:r w:rsidRPr="0089517D">
        <w:t xml:space="preserve"> mais informe plutôt qu’aucun tribunal n’a eu à se prononcer sur cette question par le passé.</w:t>
      </w:r>
    </w:p>
    <w:p w14:paraId="1447BC61" w14:textId="77777777" w:rsidR="003E05D3" w:rsidRPr="0089517D" w:rsidRDefault="003E05D3" w:rsidP="003E05D3">
      <w:pPr>
        <w:pStyle w:val="Paragraphe"/>
        <w:spacing w:line="240" w:lineRule="auto"/>
      </w:pPr>
      <w:r w:rsidRPr="0089517D">
        <w:t xml:space="preserve">Dans ce contexte, il n’y a pas lieu de contourner le sens ordinaire du mot « renseignements » qui s’harmonise avec l’objet de la disposition qui prévoit qu’il peut être fait exception au principe de la publicité des droits, et précise dans quels cas, le tout sans limiter les renseignements pouvant bénéficier de cette exception. </w:t>
      </w:r>
    </w:p>
    <w:p w14:paraId="1F129036" w14:textId="77777777" w:rsidR="003E05D3" w:rsidRPr="0089517D" w:rsidRDefault="003E05D3" w:rsidP="003E05D3">
      <w:pPr>
        <w:pStyle w:val="Titre3"/>
        <w:spacing w:line="240" w:lineRule="auto"/>
        <w:rPr>
          <w:b/>
          <w:bCs/>
        </w:rPr>
      </w:pPr>
      <w:r w:rsidRPr="0089517D">
        <w:rPr>
          <w:b/>
          <w:bCs/>
        </w:rPr>
        <w:t>4.2. Risque sérieux et nécessité de l’ordonnance demandée</w:t>
      </w:r>
    </w:p>
    <w:p w14:paraId="26331939" w14:textId="77777777" w:rsidR="003E05D3" w:rsidRPr="0089517D" w:rsidRDefault="003E05D3" w:rsidP="003E05D3">
      <w:pPr>
        <w:pStyle w:val="Paragraphe"/>
        <w:spacing w:line="240" w:lineRule="auto"/>
      </w:pPr>
      <w:r w:rsidRPr="0089517D">
        <w:t xml:space="preserve">La Ville plaide que la juge erre en ordonnant la confidentialité de la somme réclamée par EBC en l’absence de preuve étayant l’existence d’un risque sérieux pour un intérêt important et la nécessité de rendre l’ordonnance. Elle ajoute qu’en tout état de cause, les risques allégués sont inexistants et que l’ordonnance n’est pas nécessaire. Elle considère que l’ordonnance est incompatible avec les principes qui encadrent les appels d’offres publics. </w:t>
      </w:r>
    </w:p>
    <w:p w14:paraId="115B5CA0" w14:textId="77777777" w:rsidR="003E05D3" w:rsidRPr="0089517D" w:rsidRDefault="003E05D3" w:rsidP="003E05D3">
      <w:pPr>
        <w:pStyle w:val="Paragraphe"/>
        <w:spacing w:line="240" w:lineRule="auto"/>
      </w:pPr>
      <w:r w:rsidRPr="0089517D">
        <w:t xml:space="preserve">EBC conteste ces arguments en soulignant que la norme d’intervention en la matière est particulièrement exigeante et requiert une erreur manifeste et dominante. Selon elle, la divulgation de la somme qu’elle réclame, soit son profit non réalisé dans le cadre de l’appel d’offres de 2023, entraîne un risque « objectivement discernable » quant au traitement équitable des soumissionnaires lors du prochain appel d’offres que la Ville </w:t>
      </w:r>
      <w:r w:rsidRPr="0089517D">
        <w:lastRenderedPageBreak/>
        <w:t>doit lancer pour l’exécution des mêmes travaux</w:t>
      </w:r>
      <w:r w:rsidRPr="0089517D">
        <w:rPr>
          <w:rStyle w:val="Appelnotedebasdep"/>
        </w:rPr>
        <w:footnoteReference w:id="14"/>
      </w:r>
      <w:r w:rsidRPr="0089517D">
        <w:t>. Elle considère que ce constat « enraye la nécessité d’administrer une preuve particulière au soutien de ce risque »</w:t>
      </w:r>
      <w:r w:rsidRPr="0089517D">
        <w:rPr>
          <w:rStyle w:val="Appelnotedebasdep"/>
        </w:rPr>
        <w:footnoteReference w:id="15"/>
      </w:r>
      <w:r w:rsidRPr="0089517D">
        <w:t>.</w:t>
      </w:r>
    </w:p>
    <w:p w14:paraId="78FD3373" w14:textId="77777777" w:rsidR="003E05D3" w:rsidRPr="0089517D" w:rsidRDefault="003E05D3" w:rsidP="003E05D3">
      <w:pPr>
        <w:pStyle w:val="Paragraphe"/>
        <w:spacing w:line="240" w:lineRule="auto"/>
      </w:pPr>
      <w:r w:rsidRPr="0089517D">
        <w:t xml:space="preserve">Je conclus que la juge énonce correctement les critères établis par la Cour suprême qui guident l’interprétation de l’article 12 </w:t>
      </w:r>
      <w:r w:rsidRPr="0089517D">
        <w:rPr>
          <w:i/>
          <w:iCs/>
        </w:rPr>
        <w:t>C.p.c</w:t>
      </w:r>
      <w:r w:rsidRPr="0089517D">
        <w:t xml:space="preserve">. en vue d’ordonner une restriction au caractère public du processus judiciaire. Toutefois, je considère que la juge a commis une erreur révisable dans l’application de ces principes. </w:t>
      </w:r>
    </w:p>
    <w:p w14:paraId="24ABAE00" w14:textId="77777777" w:rsidR="003E05D3" w:rsidRPr="0089517D" w:rsidRDefault="003E05D3" w:rsidP="003E05D3">
      <w:pPr>
        <w:pStyle w:val="Titre6"/>
        <w:spacing w:line="240" w:lineRule="auto"/>
        <w:rPr>
          <w:b/>
          <w:bCs/>
        </w:rPr>
      </w:pPr>
      <w:r w:rsidRPr="0089517D">
        <w:rPr>
          <w:b/>
          <w:bCs/>
        </w:rPr>
        <w:t xml:space="preserve">4.2.1. Principes applicables </w:t>
      </w:r>
    </w:p>
    <w:p w14:paraId="693F0D24" w14:textId="77777777" w:rsidR="003E05D3" w:rsidRPr="0089517D" w:rsidRDefault="003E05D3" w:rsidP="003E05D3">
      <w:pPr>
        <w:pStyle w:val="Paragraphe"/>
        <w:spacing w:line="240" w:lineRule="auto"/>
      </w:pPr>
      <w:r w:rsidRPr="0089517D">
        <w:t xml:space="preserve">Le caractère public du processus judiciaire, consacré à l’article 11 </w:t>
      </w:r>
      <w:r w:rsidRPr="0089517D">
        <w:rPr>
          <w:i/>
          <w:iCs/>
        </w:rPr>
        <w:t>C.p.c.</w:t>
      </w:r>
      <w:r w:rsidRPr="0089517D">
        <w:t>,</w:t>
      </w:r>
      <w:r w:rsidRPr="0089517D">
        <w:rPr>
          <w:i/>
          <w:iCs/>
        </w:rPr>
        <w:t xml:space="preserve"> </w:t>
      </w:r>
      <w:r w:rsidRPr="0089517D">
        <w:t>constitue l’un des fondements de notre système de justice</w:t>
      </w:r>
      <w:r w:rsidRPr="0089517D">
        <w:rPr>
          <w:rStyle w:val="Appelnotedebasdep"/>
        </w:rPr>
        <w:footnoteReference w:id="16"/>
      </w:r>
      <w:r w:rsidRPr="0089517D">
        <w:t>. Ce principe tire son origine de la common law</w:t>
      </w:r>
      <w:r w:rsidRPr="0089517D">
        <w:rPr>
          <w:rStyle w:val="Appelnotedebasdep"/>
        </w:rPr>
        <w:footnoteReference w:id="17"/>
      </w:r>
      <w:r w:rsidRPr="0089517D">
        <w:t xml:space="preserve"> et son importance a été maintes fois reconnue par la Cour suprême</w:t>
      </w:r>
      <w:r w:rsidRPr="0089517D">
        <w:rPr>
          <w:rStyle w:val="Appelnotedebasdep"/>
        </w:rPr>
        <w:footnoteReference w:id="18"/>
      </w:r>
      <w:r w:rsidRPr="0089517D">
        <w:t>, dont les arrêts inspirent l’interprétation qui en est donnée au Québec</w:t>
      </w:r>
      <w:r w:rsidRPr="0089517D">
        <w:rPr>
          <w:rStyle w:val="Appelnotedebasdep"/>
        </w:rPr>
        <w:footnoteReference w:id="19"/>
      </w:r>
      <w:r w:rsidRPr="0089517D">
        <w:t>.</w:t>
      </w:r>
    </w:p>
    <w:p w14:paraId="32E8016F" w14:textId="687D0CAE" w:rsidR="003E05D3" w:rsidRPr="0089517D" w:rsidRDefault="003E05D3" w:rsidP="003E05D3">
      <w:pPr>
        <w:pStyle w:val="Paragraphe"/>
        <w:spacing w:line="240" w:lineRule="auto"/>
      </w:pPr>
      <w:r w:rsidRPr="0089517D">
        <w:t xml:space="preserve">Dans l’arrêt </w:t>
      </w:r>
      <w:r w:rsidRPr="0089517D">
        <w:rPr>
          <w:i/>
          <w:iCs/>
        </w:rPr>
        <w:t>Procureur général de la Nouvelle-Écosse c. MacIntyre</w:t>
      </w:r>
      <w:r w:rsidRPr="0089517D">
        <w:t>,</w:t>
      </w:r>
      <w:r w:rsidRPr="0089517D">
        <w:rPr>
          <w:i/>
          <w:iCs/>
        </w:rPr>
        <w:t xml:space="preserve"> </w:t>
      </w:r>
      <w:r w:rsidRPr="0089517D">
        <w:t>le juge Dickson, avant qu’il ne devienne juge en chef, rappelle l’importance de la publicité des débats judiciaires en citant le juriste et philosophe anglais, Jeremy Bentham,</w:t>
      </w:r>
      <w:r w:rsidR="00EC2F92" w:rsidRPr="0089517D">
        <w:t xml:space="preserve"> </w:t>
      </w:r>
      <w:r w:rsidRPr="0089517D">
        <w:t>qui écrivait de façon éloquente</w:t>
      </w:r>
      <w:r w:rsidR="00EC2F92" w:rsidRPr="0089517D">
        <w:t> </w:t>
      </w:r>
      <w:r w:rsidRPr="0089517D">
        <w:t>: [</w:t>
      </w:r>
      <w:r w:rsidRPr="0089517D">
        <w:rPr>
          <w:sz w:val="22"/>
          <w:szCs w:val="18"/>
        </w:rPr>
        <w:t>TRADUCTION</w:t>
      </w:r>
      <w:r w:rsidRPr="0089517D">
        <w:t>] « Dans l’ombre du secret, de sombres visées et des maux de toutes formes ont libre cours. Les freins à l’injustice judiciaire sont intimement liés à la publicité. Là où il n’y a pas de publicité, il n’y a pas de justice »</w:t>
      </w:r>
      <w:r w:rsidRPr="0089517D">
        <w:rPr>
          <w:rStyle w:val="Appelnotedebasdep"/>
        </w:rPr>
        <w:footnoteReference w:id="20"/>
      </w:r>
      <w:r w:rsidRPr="0089517D">
        <w:t>. En effet, [</w:t>
      </w:r>
      <w:r w:rsidRPr="0089517D">
        <w:rPr>
          <w:sz w:val="22"/>
          <w:szCs w:val="18"/>
        </w:rPr>
        <w:t>TRADUCTION</w:t>
      </w:r>
      <w:r w:rsidRPr="0089517D">
        <w:t>] « [l]a publicité est le souffle même de la justice. Elle est la plus grande incitation à l’effort et la meilleure des protections contre l’improbité »</w:t>
      </w:r>
      <w:r w:rsidRPr="0089517D">
        <w:rPr>
          <w:rStyle w:val="Appelnotedebasdep"/>
        </w:rPr>
        <w:footnoteReference w:id="21"/>
      </w:r>
      <w:r w:rsidRPr="0089517D">
        <w:t xml:space="preserve">. </w:t>
      </w:r>
    </w:p>
    <w:p w14:paraId="098BD39F" w14:textId="77777777" w:rsidR="003E05D3" w:rsidRPr="0089517D" w:rsidRDefault="003E05D3" w:rsidP="003E05D3">
      <w:pPr>
        <w:pStyle w:val="Paragraphe"/>
        <w:spacing w:line="240" w:lineRule="auto"/>
      </w:pPr>
      <w:r w:rsidRPr="0089517D">
        <w:lastRenderedPageBreak/>
        <w:t>Le caractère public de la procédure devant les tribunaux est une caractéristique essentielle d’une société libre et démocratique</w:t>
      </w:r>
      <w:r w:rsidRPr="0089517D">
        <w:rPr>
          <w:rStyle w:val="Appelnotedebasdep"/>
        </w:rPr>
        <w:footnoteReference w:id="22"/>
      </w:r>
      <w:r w:rsidRPr="0089517D">
        <w:t>, qui assure une saine administration de la justice, une bonne compréhension de son fonctionnement et le respect de ses décisions, en favorisant la confiance du public dans sa probité et sa légitimité</w:t>
      </w:r>
      <w:r w:rsidRPr="0089517D">
        <w:rPr>
          <w:rStyle w:val="Appelnotedebasdep"/>
        </w:rPr>
        <w:footnoteReference w:id="23"/>
      </w:r>
      <w:r w:rsidRPr="0089517D">
        <w:t xml:space="preserve">. Ce principe est enchâssé dans la constitution canadienne par l’entremise de la protection accordée à la liberté d’expression et à la liberté de la presse dans la </w:t>
      </w:r>
      <w:r w:rsidRPr="0089517D">
        <w:rPr>
          <w:i/>
          <w:iCs/>
        </w:rPr>
        <w:t>Charte canadienne</w:t>
      </w:r>
      <w:r w:rsidRPr="0089517D">
        <w:rPr>
          <w:rStyle w:val="Appelnotedebasdep"/>
        </w:rPr>
        <w:footnoteReference w:id="24"/>
      </w:r>
      <w:r w:rsidRPr="0089517D">
        <w:t xml:space="preserve">. </w:t>
      </w:r>
    </w:p>
    <w:p w14:paraId="54423B80" w14:textId="77777777" w:rsidR="003E05D3" w:rsidRPr="0089517D" w:rsidRDefault="003E05D3" w:rsidP="003E05D3">
      <w:pPr>
        <w:pStyle w:val="Paragraphe"/>
        <w:spacing w:line="240" w:lineRule="auto"/>
      </w:pPr>
      <w:r w:rsidRPr="0089517D">
        <w:t>La publicité des débats judiciaires bénéficie d’une forte présomption</w:t>
      </w:r>
      <w:r w:rsidRPr="0089517D">
        <w:rPr>
          <w:rStyle w:val="Appelnotedebasdep"/>
        </w:rPr>
        <w:footnoteReference w:id="25"/>
      </w:r>
      <w:r w:rsidRPr="0089517D">
        <w:t>. Un tribunal peut rendre une ordonnance limitant ce principe, mais ce pouvoir ne doit être « exercé que dans de rares circonstances, avec modération »</w:t>
      </w:r>
      <w:r w:rsidRPr="0089517D">
        <w:rPr>
          <w:rStyle w:val="Appelnotedebasdep"/>
        </w:rPr>
        <w:footnoteReference w:id="26"/>
      </w:r>
      <w:r w:rsidRPr="0089517D">
        <w:t xml:space="preserve">, en considérant l’importance accordée au fait que la justice doit être rendue au vu et au su du public, le tout en conformité avec les valeurs de la </w:t>
      </w:r>
      <w:r w:rsidRPr="0089517D">
        <w:rPr>
          <w:i/>
          <w:iCs/>
        </w:rPr>
        <w:t>Charte</w:t>
      </w:r>
      <w:r w:rsidRPr="0089517D">
        <w:rPr>
          <w:rStyle w:val="Appelnotedebasdep"/>
        </w:rPr>
        <w:footnoteReference w:id="27"/>
      </w:r>
      <w:r w:rsidRPr="0089517D">
        <w:t>.</w:t>
      </w:r>
    </w:p>
    <w:p w14:paraId="0BF174F2" w14:textId="3260121A" w:rsidR="003E05D3" w:rsidRPr="0089517D" w:rsidRDefault="003E05D3" w:rsidP="003E05D3">
      <w:pPr>
        <w:pStyle w:val="Paragraphe"/>
        <w:spacing w:line="240" w:lineRule="auto"/>
      </w:pPr>
      <w:r w:rsidRPr="0089517D">
        <w:t xml:space="preserve">L’évaluation d’une demande d’ordonnance fondée sur l’article 12 </w:t>
      </w:r>
      <w:r w:rsidRPr="0089517D">
        <w:rPr>
          <w:i/>
          <w:iCs/>
        </w:rPr>
        <w:t>C.p.c.</w:t>
      </w:r>
      <w:r w:rsidRPr="0089517D">
        <w:t xml:space="preserve"> visant à restreindre le caractère public du processus judiciaire est guidée par la grille d’analyse élaborée par la Cour suprême</w:t>
      </w:r>
      <w:r w:rsidR="00ED501C" w:rsidRPr="0089517D">
        <w:rPr>
          <w:rStyle w:val="Appelnotedebasdep"/>
        </w:rPr>
        <w:footnoteReference w:id="28"/>
      </w:r>
      <w:r w:rsidRPr="0089517D">
        <w:t xml:space="preserve"> dans les arrêts </w:t>
      </w:r>
      <w:r w:rsidRPr="0089517D">
        <w:rPr>
          <w:i/>
          <w:iCs/>
        </w:rPr>
        <w:t>Dagenais</w:t>
      </w:r>
      <w:r w:rsidRPr="0089517D">
        <w:t xml:space="preserve">, </w:t>
      </w:r>
      <w:r w:rsidRPr="0089517D">
        <w:rPr>
          <w:i/>
          <w:iCs/>
        </w:rPr>
        <w:t>Mentuck</w:t>
      </w:r>
      <w:r w:rsidRPr="0089517D">
        <w:rPr>
          <w:rStyle w:val="Appelnotedebasdep"/>
        </w:rPr>
        <w:footnoteReference w:id="29"/>
      </w:r>
      <w:r w:rsidRPr="0089517D">
        <w:t xml:space="preserve">, </w:t>
      </w:r>
      <w:r w:rsidRPr="0089517D">
        <w:rPr>
          <w:i/>
          <w:iCs/>
        </w:rPr>
        <w:t>Sierra Club</w:t>
      </w:r>
      <w:r w:rsidRPr="0089517D">
        <w:rPr>
          <w:rStyle w:val="Appelnotedebasdep"/>
        </w:rPr>
        <w:footnoteReference w:id="30"/>
      </w:r>
      <w:r w:rsidRPr="0089517D">
        <w:rPr>
          <w:i/>
          <w:iCs/>
        </w:rPr>
        <w:t xml:space="preserve"> </w:t>
      </w:r>
      <w:r w:rsidRPr="0089517D">
        <w:t xml:space="preserve">et </w:t>
      </w:r>
      <w:r w:rsidRPr="0089517D">
        <w:rPr>
          <w:i/>
          <w:iCs/>
        </w:rPr>
        <w:t>Sherman</w:t>
      </w:r>
      <w:r w:rsidRPr="0089517D">
        <w:t>. Le test repose sur « trois conditions préalables fondamentales »</w:t>
      </w:r>
      <w:r w:rsidRPr="0089517D">
        <w:rPr>
          <w:rStyle w:val="Appelnotedebasdep"/>
        </w:rPr>
        <w:footnoteReference w:id="31"/>
      </w:r>
      <w:r w:rsidRPr="0089517D">
        <w:t xml:space="preserve"> : </w:t>
      </w:r>
    </w:p>
    <w:p w14:paraId="49201A6A" w14:textId="3981293E" w:rsidR="003E05D3" w:rsidRPr="0089517D" w:rsidRDefault="003E05D3" w:rsidP="00EC2F92">
      <w:pPr>
        <w:pStyle w:val="Citationenretrait"/>
        <w:tabs>
          <w:tab w:val="left" w:pos="1134"/>
        </w:tabs>
        <w:spacing w:line="240" w:lineRule="auto"/>
        <w:rPr>
          <w:sz w:val="24"/>
          <w:szCs w:val="24"/>
        </w:rPr>
      </w:pPr>
      <w:r w:rsidRPr="0089517D">
        <w:rPr>
          <w:sz w:val="24"/>
          <w:szCs w:val="24"/>
        </w:rPr>
        <w:t>(1)</w:t>
      </w:r>
      <w:r w:rsidR="00A3230B" w:rsidRPr="0089517D">
        <w:rPr>
          <w:sz w:val="24"/>
          <w:szCs w:val="24"/>
        </w:rPr>
        <w:tab/>
      </w:r>
      <w:r w:rsidRPr="0089517D">
        <w:rPr>
          <w:sz w:val="24"/>
          <w:szCs w:val="24"/>
        </w:rPr>
        <w:t>la personne qui sollicite une restriction doit établir « comme condition préliminaire, que la publicité des débats en cause présente un risque sérieux pour un intérêt opposé qui revêt une importance pour le public »</w:t>
      </w:r>
      <w:r w:rsidRPr="0089517D">
        <w:rPr>
          <w:rStyle w:val="Appelnotedebasdep"/>
          <w:sz w:val="24"/>
          <w:szCs w:val="24"/>
        </w:rPr>
        <w:footnoteReference w:id="32"/>
      </w:r>
      <w:r w:rsidRPr="0089517D">
        <w:rPr>
          <w:sz w:val="24"/>
          <w:szCs w:val="24"/>
        </w:rPr>
        <w:t>.</w:t>
      </w:r>
      <w:r w:rsidR="00FD2201" w:rsidRPr="0089517D">
        <w:rPr>
          <w:sz w:val="24"/>
          <w:szCs w:val="24"/>
        </w:rPr>
        <w:t> </w:t>
      </w:r>
      <w:r w:rsidRPr="0089517D">
        <w:rPr>
          <w:sz w:val="24"/>
          <w:szCs w:val="24"/>
        </w:rPr>
        <w:t xml:space="preserve">Il </w:t>
      </w:r>
      <w:r w:rsidRPr="0089517D">
        <w:rPr>
          <w:sz w:val="24"/>
          <w:szCs w:val="24"/>
        </w:rPr>
        <w:lastRenderedPageBreak/>
        <w:t>s’agit d’un seuil élevé afin d’assurer le maintien de la forte présomption en faveur de la publicité des débats judiciaires</w:t>
      </w:r>
      <w:r w:rsidRPr="0089517D">
        <w:rPr>
          <w:rStyle w:val="Appelnotedebasdep"/>
          <w:sz w:val="24"/>
          <w:szCs w:val="24"/>
        </w:rPr>
        <w:footnoteReference w:id="33"/>
      </w:r>
      <w:r w:rsidRPr="0089517D">
        <w:rPr>
          <w:sz w:val="24"/>
          <w:szCs w:val="24"/>
        </w:rPr>
        <w:t xml:space="preserve">; </w:t>
      </w:r>
    </w:p>
    <w:p w14:paraId="6FA23EAE" w14:textId="67680224" w:rsidR="003E05D3" w:rsidRPr="0089517D" w:rsidRDefault="003E05D3" w:rsidP="00EC2F92">
      <w:pPr>
        <w:pStyle w:val="Citationenretrait"/>
        <w:tabs>
          <w:tab w:val="left" w:pos="1134"/>
        </w:tabs>
        <w:spacing w:line="240" w:lineRule="auto"/>
        <w:rPr>
          <w:sz w:val="24"/>
          <w:szCs w:val="24"/>
        </w:rPr>
      </w:pPr>
      <w:r w:rsidRPr="0089517D">
        <w:rPr>
          <w:sz w:val="24"/>
          <w:szCs w:val="24"/>
        </w:rPr>
        <w:t>(2)</w:t>
      </w:r>
      <w:r w:rsidR="00A3230B" w:rsidRPr="0089517D">
        <w:rPr>
          <w:sz w:val="24"/>
          <w:szCs w:val="24"/>
        </w:rPr>
        <w:tab/>
      </w:r>
      <w:r w:rsidRPr="0089517D">
        <w:rPr>
          <w:sz w:val="24"/>
          <w:szCs w:val="24"/>
        </w:rPr>
        <w:t>elle doit démontrer que « l’ordonnance sollicitée est</w:t>
      </w:r>
      <w:r w:rsidR="00F50B2F" w:rsidRPr="0089517D">
        <w:rPr>
          <w:sz w:val="24"/>
          <w:szCs w:val="24"/>
        </w:rPr>
        <w:t xml:space="preserve"> </w:t>
      </w:r>
      <w:r w:rsidRPr="0089517D">
        <w:rPr>
          <w:sz w:val="24"/>
          <w:szCs w:val="24"/>
        </w:rPr>
        <w:t>nécessaire pour écarter ce risque sérieux</w:t>
      </w:r>
      <w:r w:rsidR="00F50B2F" w:rsidRPr="0089517D">
        <w:rPr>
          <w:sz w:val="24"/>
          <w:szCs w:val="24"/>
        </w:rPr>
        <w:t xml:space="preserve"> </w:t>
      </w:r>
      <w:r w:rsidRPr="0089517D">
        <w:rPr>
          <w:sz w:val="24"/>
          <w:szCs w:val="24"/>
        </w:rPr>
        <w:t>pour l’intérêt mis en évidence,</w:t>
      </w:r>
      <w:r w:rsidR="00F50B2F" w:rsidRPr="0089517D">
        <w:rPr>
          <w:sz w:val="24"/>
          <w:szCs w:val="24"/>
        </w:rPr>
        <w:t xml:space="preserve"> </w:t>
      </w:r>
      <w:r w:rsidRPr="0089517D">
        <w:rPr>
          <w:sz w:val="24"/>
          <w:szCs w:val="24"/>
        </w:rPr>
        <w:t>car d’autres mesures raisonnables ne permettront pas d’écarter ce risque »</w:t>
      </w:r>
      <w:r w:rsidRPr="0089517D">
        <w:rPr>
          <w:rStyle w:val="Appelnotedebasdep"/>
          <w:sz w:val="24"/>
          <w:szCs w:val="24"/>
        </w:rPr>
        <w:footnoteReference w:id="34"/>
      </w:r>
      <w:r w:rsidRPr="0089517D">
        <w:rPr>
          <w:sz w:val="24"/>
          <w:szCs w:val="24"/>
        </w:rPr>
        <w:t xml:space="preserve">; </w:t>
      </w:r>
    </w:p>
    <w:p w14:paraId="3E4B81D0" w14:textId="4810ED21" w:rsidR="003E05D3" w:rsidRPr="0089517D" w:rsidRDefault="003E05D3" w:rsidP="00EC2F92">
      <w:pPr>
        <w:pStyle w:val="Citationenretrait"/>
        <w:tabs>
          <w:tab w:val="left" w:pos="1134"/>
        </w:tabs>
        <w:spacing w:line="240" w:lineRule="auto"/>
        <w:rPr>
          <w:sz w:val="24"/>
          <w:szCs w:val="24"/>
        </w:rPr>
      </w:pPr>
      <w:r w:rsidRPr="0089517D">
        <w:rPr>
          <w:sz w:val="24"/>
          <w:szCs w:val="24"/>
        </w:rPr>
        <w:t>(3)</w:t>
      </w:r>
      <w:r w:rsidR="00A3230B" w:rsidRPr="0089517D">
        <w:rPr>
          <w:sz w:val="24"/>
          <w:szCs w:val="24"/>
        </w:rPr>
        <w:tab/>
      </w:r>
      <w:r w:rsidRPr="0089517D">
        <w:rPr>
          <w:sz w:val="24"/>
          <w:szCs w:val="24"/>
        </w:rPr>
        <w:t xml:space="preserve">elle doit convaincre que du point de vue de la proportionnalité, les avantages de l’ordonnance sollicitée l’emportent sur ses effets négatifs sur le principe de la publicité. </w:t>
      </w:r>
    </w:p>
    <w:p w14:paraId="71BFD1EA" w14:textId="77777777" w:rsidR="003E05D3" w:rsidRPr="0089517D" w:rsidRDefault="003E05D3" w:rsidP="003E05D3">
      <w:pPr>
        <w:pStyle w:val="Paragraphe"/>
        <w:spacing w:line="240" w:lineRule="auto"/>
      </w:pPr>
      <w:r w:rsidRPr="0089517D">
        <w:t xml:space="preserve">Dans l’arrêt </w:t>
      </w:r>
      <w:r w:rsidRPr="0089517D">
        <w:rPr>
          <w:i/>
          <w:iCs/>
        </w:rPr>
        <w:t>Sierra Club</w:t>
      </w:r>
      <w:r w:rsidRPr="0089517D">
        <w:t>, la Cour suprême, sous la plume du juge Iacobucci, reconnaît qu’un intérêt commercial peut se qualifier d’« intérêt important »</w:t>
      </w:r>
      <w:r w:rsidRPr="0089517D">
        <w:rPr>
          <w:rStyle w:val="Appelnotedebasdep"/>
        </w:rPr>
        <w:footnoteReference w:id="35"/>
      </w:r>
      <w:r w:rsidRPr="0089517D">
        <w:t>, mais elle précise cependant qu’il « ne doit pas se rapporter uniquement et spécifiquement à la partie qui demande l’ordonnance de confidentialité; il doit s’agir d’un intérêt qui peut se définir en termes d’intérêt public à la confidentialité »</w:t>
      </w:r>
      <w:r w:rsidRPr="0089517D">
        <w:rPr>
          <w:rStyle w:val="Appelnotedebasdep"/>
        </w:rPr>
        <w:footnoteReference w:id="36"/>
      </w:r>
      <w:r w:rsidRPr="0089517D">
        <w:t>. Il ajoute que cette détermination doit se faire avec prudence, en ayant « pleinement conscience de l’importance fondamentale de la règle de la publicité des débats judiciaires »</w:t>
      </w:r>
      <w:r w:rsidRPr="0089517D">
        <w:rPr>
          <w:rStyle w:val="Appelnotedebasdep"/>
        </w:rPr>
        <w:footnoteReference w:id="37"/>
      </w:r>
      <w:r w:rsidRPr="0089517D">
        <w:t xml:space="preserve">. À ce sujet, le juge Kasirer souligne, au nom de la Cour suprême dans l’arrêt </w:t>
      </w:r>
      <w:r w:rsidRPr="0089517D">
        <w:rPr>
          <w:i/>
          <w:iCs/>
        </w:rPr>
        <w:t>Sherman</w:t>
      </w:r>
      <w:r w:rsidRPr="0089517D">
        <w:t xml:space="preserve">, que la détermination de l’existence d’un risque sérieux menaçant cet intérêt est une question factuelle qui doit être appréciée eu égard au contexte. Il ajoute : </w:t>
      </w:r>
    </w:p>
    <w:p w14:paraId="66E4F78A" w14:textId="00839FC7" w:rsidR="003E05D3" w:rsidRPr="0089517D" w:rsidRDefault="003E05D3" w:rsidP="003E05D3">
      <w:pPr>
        <w:pStyle w:val="Citationenretrait"/>
        <w:spacing w:line="240" w:lineRule="auto"/>
      </w:pPr>
      <w:r w:rsidRPr="0089517D">
        <w:t>[42]</w:t>
      </w:r>
      <w:r w:rsidR="00A3230B" w:rsidRPr="0089517D">
        <w:tab/>
      </w:r>
      <w:r w:rsidRPr="0089517D">
        <w:t xml:space="preserve">[…] En ce sens, le fait de constater, d’une part, un intérêt important et celui de constater, d’autre part, le caractère sérieux du risque auquel cet intérêt est exposé sont, en théorie du moins, des opérations séparées et qualitativement distinctes. </w:t>
      </w:r>
      <w:r w:rsidRPr="0089517D">
        <w:rPr>
          <w:u w:val="single"/>
        </w:rPr>
        <w:t>Une ordonnance peut donc être refusée du simple fait qu’un intérêt public important valide n’est pas sérieusement menacé au vu des faits de l’affaire</w:t>
      </w:r>
      <w:r w:rsidRPr="0089517D">
        <w:t xml:space="preserve"> […].</w:t>
      </w:r>
    </w:p>
    <w:p w14:paraId="78F95AF2" w14:textId="77777777" w:rsidR="003E05D3" w:rsidRPr="0089517D" w:rsidRDefault="003E05D3" w:rsidP="003E05D3">
      <w:pPr>
        <w:pStyle w:val="Citationenretrait"/>
        <w:spacing w:line="240" w:lineRule="auto"/>
        <w:jc w:val="right"/>
      </w:pPr>
      <w:r w:rsidRPr="0089517D">
        <w:t>[Soulignement ajouté]</w:t>
      </w:r>
    </w:p>
    <w:p w14:paraId="1122F2BF" w14:textId="77777777" w:rsidR="003E05D3" w:rsidRPr="0089517D" w:rsidRDefault="003E05D3" w:rsidP="003E05D3">
      <w:pPr>
        <w:pStyle w:val="Paragraphe"/>
        <w:spacing w:line="240" w:lineRule="auto"/>
      </w:pPr>
      <w:r w:rsidRPr="0089517D">
        <w:t>La démonstration du risque doit être bien appuyée par une preuve convaincante, et ne pas se fonder sur « des craintes purement hypothétiques »</w:t>
      </w:r>
      <w:r w:rsidRPr="0089517D">
        <w:rPr>
          <w:rStyle w:val="Appelnotedebasdep"/>
        </w:rPr>
        <w:footnoteReference w:id="38"/>
      </w:r>
      <w:r w:rsidRPr="0089517D">
        <w:t xml:space="preserve">. Dans l’arrêt </w:t>
      </w:r>
      <w:r w:rsidRPr="0089517D">
        <w:rPr>
          <w:i/>
          <w:iCs/>
        </w:rPr>
        <w:t>Mentuck</w:t>
      </w:r>
      <w:r w:rsidRPr="0089517D">
        <w:t xml:space="preserve">, la Cour suprême, sous la plume du juge Iacobucci, insiste sur cet aspect : </w:t>
      </w:r>
    </w:p>
    <w:p w14:paraId="04C7548B" w14:textId="2857A55C" w:rsidR="003E05D3" w:rsidRPr="0089517D" w:rsidRDefault="003E05D3" w:rsidP="003E05D3">
      <w:pPr>
        <w:pStyle w:val="Citationenretrait"/>
        <w:spacing w:line="240" w:lineRule="auto"/>
      </w:pPr>
      <w:r w:rsidRPr="0089517D">
        <w:t>[39]</w:t>
      </w:r>
      <w:r w:rsidR="00A3230B" w:rsidRPr="0089517D">
        <w:tab/>
      </w:r>
      <w:r w:rsidRPr="0089517D">
        <w:t xml:space="preserve">C’est justement parce que la présomption voulant que les procédures judiciaires soient publiques et que leur diffusion ne soit pas censurée est si forte </w:t>
      </w:r>
      <w:r w:rsidRPr="0089517D">
        <w:lastRenderedPageBreak/>
        <w:t>et si valorisée dans notre société que le juge doit disposer d’une preuve convaincante pour ordonner une interdiction. […]</w:t>
      </w:r>
    </w:p>
    <w:p w14:paraId="6E031316" w14:textId="7A9AF99A" w:rsidR="003E05D3" w:rsidRPr="0089517D" w:rsidRDefault="003E05D3" w:rsidP="003E05D3">
      <w:pPr>
        <w:pStyle w:val="Paragraphe"/>
        <w:spacing w:line="240" w:lineRule="auto"/>
      </w:pPr>
      <w:r w:rsidRPr="0089517D">
        <w:t xml:space="preserve">Dans l’arrêt </w:t>
      </w:r>
      <w:r w:rsidRPr="0089517D">
        <w:rPr>
          <w:i/>
          <w:iCs/>
        </w:rPr>
        <w:t>Sherman</w:t>
      </w:r>
      <w:r w:rsidRPr="0089517D">
        <w:t>, le juge Kasirer ajoute</w:t>
      </w:r>
      <w:r w:rsidR="000270F0" w:rsidRPr="0089517D">
        <w:t xml:space="preserve"> </w:t>
      </w:r>
      <w:r w:rsidRPr="0089517D">
        <w:t>à ce sujet</w:t>
      </w:r>
      <w:r w:rsidR="000978DA">
        <w:t> </w:t>
      </w:r>
      <w:r w:rsidRPr="0089517D">
        <w:t xml:space="preserve">: </w:t>
      </w:r>
    </w:p>
    <w:p w14:paraId="070034D9" w14:textId="3B50EC13" w:rsidR="003E05D3" w:rsidRPr="0089517D" w:rsidRDefault="003E05D3" w:rsidP="003E05D3">
      <w:pPr>
        <w:pStyle w:val="Citationenretrait"/>
        <w:spacing w:line="240" w:lineRule="auto"/>
      </w:pPr>
      <w:r w:rsidRPr="0089517D">
        <w:t>[</w:t>
      </w:r>
      <w:bookmarkStart w:id="18" w:name="par62"/>
      <w:r w:rsidRPr="0089517D">
        <w:t>62</w:t>
      </w:r>
      <w:bookmarkEnd w:id="18"/>
      <w:r w:rsidRPr="0089517D">
        <w:t>]</w:t>
      </w:r>
      <w:r w:rsidR="00A3230B" w:rsidRPr="0089517D">
        <w:tab/>
      </w:r>
      <w:r w:rsidRPr="0089517D">
        <w:t xml:space="preserve">Deuxièmement, je rappelle que, pour franchir la première étape de l’analyse, il ne suffit pas d’invoquer un intérêt important, mais </w:t>
      </w:r>
      <w:r w:rsidRPr="0089517D">
        <w:rPr>
          <w:u w:val="single"/>
        </w:rPr>
        <w:t>il faut aussi réfuter la présomption de publicité des débats en démontrant l’existence d’un risque sérieux</w:t>
      </w:r>
      <w:r w:rsidR="00EC2F92" w:rsidRPr="0089517D">
        <w:rPr>
          <w:i/>
          <w:iCs/>
          <w:u w:val="single"/>
        </w:rPr>
        <w:t xml:space="preserve"> </w:t>
      </w:r>
      <w:r w:rsidRPr="0089517D">
        <w:rPr>
          <w:u w:val="single"/>
        </w:rPr>
        <w:t>pour cet intérêt. Le fardeau d’établir l’existence d’un risque pour un tel intérêt au vu des faits d’une affaire donnée constitue le véritable seuil initial à franchir pour la personne cherchant à restreindre la publicité</w:t>
      </w:r>
      <w:r w:rsidRPr="0089517D">
        <w:t xml:space="preserve">. </w:t>
      </w:r>
      <w:r w:rsidRPr="0089517D">
        <w:rPr>
          <w:u w:val="single"/>
        </w:rPr>
        <w:t>Il n’est jamais suffisant d’alléguer la seule existence d’un intérêt public important reconnu. Démontrer l’existence d’un risque sérieux pour cet intérêt demeure toujours nécessaire</w:t>
      </w:r>
      <w:r w:rsidRPr="0089517D">
        <w:t xml:space="preserve">. Ce qui importe, c’est que l’intérêt soit précisément défini de manière à ce qu’il n’englobe que les aspects de la vie privée qui font entrer en jeu des objectifs publics légitimes, de sorte que </w:t>
      </w:r>
      <w:r w:rsidRPr="0089517D">
        <w:rPr>
          <w:u w:val="single"/>
        </w:rPr>
        <w:t>le seuil à franchir pour établir l’existence d’un risque sérieux pour cet intérêt demeure élevé</w:t>
      </w:r>
      <w:r w:rsidRPr="0089517D">
        <w:t xml:space="preserve">. De cette manière, </w:t>
      </w:r>
      <w:r w:rsidRPr="0089517D">
        <w:rPr>
          <w:u w:val="single"/>
        </w:rPr>
        <w:t>les tribunaux peuvent efficacement maintenir la garantie de la présomption de publicité des débats</w:t>
      </w:r>
      <w:r w:rsidRPr="0089517D">
        <w:t>.</w:t>
      </w:r>
    </w:p>
    <w:p w14:paraId="2DF81411" w14:textId="476D1F9E" w:rsidR="003E05D3" w:rsidRPr="0089517D" w:rsidRDefault="003E05D3" w:rsidP="003E05D3">
      <w:pPr>
        <w:pStyle w:val="Citationenretrait"/>
        <w:spacing w:line="240" w:lineRule="auto"/>
      </w:pPr>
      <w:r w:rsidRPr="0089517D">
        <w:t>[63]</w:t>
      </w:r>
      <w:r w:rsidR="00A3230B" w:rsidRPr="0089517D">
        <w:tab/>
      </w:r>
      <w:r w:rsidRPr="0089517D">
        <w:t xml:space="preserve">[…] Rien en l’espèce n’écarte le principe selon lequel </w:t>
      </w:r>
      <w:r w:rsidRPr="0089517D">
        <w:rPr>
          <w:u w:val="single"/>
        </w:rPr>
        <w:t>le secret en matière de procédures judiciaires doit être exceptionnel</w:t>
      </w:r>
      <w:r w:rsidRPr="0089517D">
        <w:t xml:space="preserve">. Ni la susceptibilité des gens </w:t>
      </w:r>
      <w:r w:rsidRPr="0089517D">
        <w:rPr>
          <w:u w:val="single"/>
        </w:rPr>
        <w:t>ni le fait que la publicité soit désavantageuse</w:t>
      </w:r>
      <w:r w:rsidRPr="0089517D">
        <w:t>, embarrassante ou pénible pour certaines personnes ne justifieront généralement, à eux seuls, une atteinte au principe de la publicité des débats judiciaires. […] Ils obligent simplement à faire la preuve de l’existence d’un risque sérieux pour cet intérêt de manière à justifier, à titre exceptionnel, une restriction à la publicité des débats, comme c’est le cas pour tout intérêt public important au regard de l’arrêt</w:t>
      </w:r>
      <w:r w:rsidR="00A3230B" w:rsidRPr="0089517D">
        <w:t xml:space="preserve"> </w:t>
      </w:r>
      <w:r w:rsidRPr="0089517D">
        <w:rPr>
          <w:i/>
          <w:iCs/>
        </w:rPr>
        <w:t>Sierra Club</w:t>
      </w:r>
      <w:r w:rsidRPr="0089517D">
        <w:t>.</w:t>
      </w:r>
    </w:p>
    <w:p w14:paraId="2126A299" w14:textId="77777777" w:rsidR="003E05D3" w:rsidRPr="0089517D" w:rsidRDefault="003E05D3" w:rsidP="003E05D3">
      <w:pPr>
        <w:pStyle w:val="Citationenretrait"/>
        <w:spacing w:line="240" w:lineRule="auto"/>
        <w:jc w:val="right"/>
      </w:pPr>
      <w:r w:rsidRPr="0089517D">
        <w:t>[Soulignements ajoutés]</w:t>
      </w:r>
    </w:p>
    <w:p w14:paraId="623899ED" w14:textId="77777777" w:rsidR="003E05D3" w:rsidRPr="0089517D" w:rsidRDefault="003E05D3" w:rsidP="003E05D3">
      <w:pPr>
        <w:pStyle w:val="Paragraphe"/>
        <w:spacing w:line="240" w:lineRule="auto"/>
      </w:pPr>
      <w:r w:rsidRPr="0089517D">
        <w:t>La jurisprudence reconnaît cependant qu’un préjudice objectivement discernable peut se déduire au moyen d’inférences logiques et qu’il ne sera pas requis dans ce cas de présenter une preuve directe du risque sérieux affectant l’intérêt important</w:t>
      </w:r>
      <w:r w:rsidRPr="0089517D">
        <w:rPr>
          <w:rStyle w:val="Appelnotedebasdep"/>
        </w:rPr>
        <w:footnoteReference w:id="39"/>
      </w:r>
      <w:r w:rsidRPr="0089517D">
        <w:t>. Toutefois, une telle inférence doit se fonder sur des circonstances objectives qui permettent raisonnablement de tirer une telle conclusion, autrement « elle équivaut à une conjecture »</w:t>
      </w:r>
      <w:r w:rsidRPr="0089517D">
        <w:rPr>
          <w:rStyle w:val="Appelnotedebasdep"/>
        </w:rPr>
        <w:footnoteReference w:id="40"/>
      </w:r>
      <w:r w:rsidRPr="0089517D">
        <w:t xml:space="preserve">. </w:t>
      </w:r>
    </w:p>
    <w:p w14:paraId="30760AD7" w14:textId="77777777" w:rsidR="003E05D3" w:rsidRPr="0089517D" w:rsidRDefault="003E05D3" w:rsidP="003E05D3">
      <w:pPr>
        <w:pStyle w:val="Titre6"/>
        <w:spacing w:line="240" w:lineRule="auto"/>
        <w:rPr>
          <w:b/>
          <w:bCs/>
        </w:rPr>
      </w:pPr>
      <w:r w:rsidRPr="0089517D">
        <w:rPr>
          <w:b/>
          <w:bCs/>
        </w:rPr>
        <w:t>4.2.2. Discussion</w:t>
      </w:r>
    </w:p>
    <w:p w14:paraId="3B8AA99B" w14:textId="77777777" w:rsidR="003E05D3" w:rsidRPr="0089517D" w:rsidRDefault="003E05D3" w:rsidP="003E05D3">
      <w:pPr>
        <w:pStyle w:val="Paragraphe"/>
        <w:spacing w:line="240" w:lineRule="auto"/>
      </w:pPr>
      <w:r w:rsidRPr="0089517D">
        <w:t>La juge conclut que les principes fondamentaux de transparence, d’équité, d’impartialité et d’intégrité qui régissent les appels d’offres publics constituent un intérêt commercial public réel et important</w:t>
      </w:r>
      <w:r w:rsidRPr="0089517D">
        <w:rPr>
          <w:rStyle w:val="Appelnotedebasdep"/>
        </w:rPr>
        <w:footnoteReference w:id="41"/>
      </w:r>
      <w:r w:rsidRPr="0089517D">
        <w:t xml:space="preserve">. Ces principes visent à assurer une saine </w:t>
      </w:r>
      <w:r w:rsidRPr="0089517D">
        <w:lastRenderedPageBreak/>
        <w:t>compétition pour l’obtention d’offres concurrentielles en matière de biens et de services qui soient de qualité, et ce, en vue d’assurer la saine gestion des fonds publics, l’intégrité du système et la confiance du public</w:t>
      </w:r>
      <w:r w:rsidRPr="0089517D">
        <w:rPr>
          <w:rStyle w:val="Appelnotedebasdep"/>
        </w:rPr>
        <w:footnoteReference w:id="42"/>
      </w:r>
      <w:r w:rsidRPr="0089517D">
        <w:t>. Je ne pense pas qu’elle commette une erreur révisable sur ce point.</w:t>
      </w:r>
    </w:p>
    <w:p w14:paraId="51996E6F" w14:textId="77777777" w:rsidR="003E05D3" w:rsidRPr="0089517D" w:rsidRDefault="003E05D3" w:rsidP="003E05D3">
      <w:pPr>
        <w:pStyle w:val="Paragraphe"/>
        <w:spacing w:line="240" w:lineRule="auto"/>
      </w:pPr>
      <w:r w:rsidRPr="0089517D">
        <w:t>Par ailleurs, elle retient qu’il est fort probable que la Ville lance un nouvel appel d’offres « dans un futur rapproché » pour la construction de la phase 3 du collecteur industriel de Montréal-Est. La Ville le reconnaît dans sa demande de scission de l’instance, soulignant qu’aucune date n’est encore fixée à ce sujet, mais que les travaux sont toujours requis et devront faire « l’objet d’un éventuel appel d’offres public »</w:t>
      </w:r>
      <w:r w:rsidRPr="0089517D">
        <w:rPr>
          <w:rStyle w:val="Appelnotedebasdep"/>
        </w:rPr>
        <w:footnoteReference w:id="43"/>
      </w:r>
      <w:r w:rsidRPr="0089517D">
        <w:t>.</w:t>
      </w:r>
    </w:p>
    <w:p w14:paraId="062E6AF9" w14:textId="77777777" w:rsidR="003E05D3" w:rsidRPr="0089517D" w:rsidRDefault="003E05D3" w:rsidP="003E05D3">
      <w:pPr>
        <w:pStyle w:val="Paragraphe"/>
        <w:spacing w:line="240" w:lineRule="auto"/>
      </w:pPr>
      <w:r w:rsidRPr="0089517D">
        <w:t>Sur cette seule base, la juge conclut qu’il est préjudiciable pour EBC et le public que des concurrents puissent connaître les profits non réalisés lors du processus d’appel d’offres datant de 2023, car le « marché pourra être renseigné sur la manière de concevoir » le prix de sa soumission, fragilisant l’intégrité du processus et préjudiciant la Ville ainsi que le public</w:t>
      </w:r>
      <w:r w:rsidRPr="0089517D">
        <w:rPr>
          <w:rStyle w:val="Appelnotedebasdep"/>
        </w:rPr>
        <w:footnoteReference w:id="44"/>
      </w:r>
      <w:r w:rsidRPr="0089517D">
        <w:t xml:space="preserve">. </w:t>
      </w:r>
    </w:p>
    <w:p w14:paraId="3DCA9358" w14:textId="0ECE08A2" w:rsidR="003E05D3" w:rsidRPr="0089517D" w:rsidRDefault="003E05D3" w:rsidP="003E05D3">
      <w:pPr>
        <w:pStyle w:val="Paragraphe"/>
        <w:spacing w:line="240" w:lineRule="auto"/>
      </w:pPr>
      <w:r w:rsidRPr="0089517D">
        <w:t>Ce faisant, la juge commet une erreur révisable puisqu’aucune preuve ne lui permet d’étayer ce risque allégué. L’avis de gestion d’EBC n’est appuyé d’aucune déclaration sous serment et l’audition de la demande s’est limitée à des plaidoiries. EBC se fonde sur le fait qu’une simple soustraction, à partir du prix de sa soumission de 2023 et des profits non réalisés qu’elle réclame, permettra à tous ses concurrents de connaître le prix coûtant qu’elle a établi en 2023 pour les travaux. Elle ajoute que, sans une ordonnance de confidentialité, ce prix pourra « être facilement actualisé à l’aide des barèmes d’indexation propres à l’industrie »</w:t>
      </w:r>
      <w:r w:rsidRPr="0089517D">
        <w:rPr>
          <w:rStyle w:val="Appelnotedebasdep"/>
        </w:rPr>
        <w:footnoteReference w:id="45"/>
      </w:r>
      <w:r w:rsidRPr="0089517D">
        <w:t xml:space="preserve">. </w:t>
      </w:r>
    </w:p>
    <w:p w14:paraId="1F837C59" w14:textId="77777777" w:rsidR="003E05D3" w:rsidRPr="0089517D" w:rsidRDefault="003E05D3" w:rsidP="003E05D3">
      <w:pPr>
        <w:pStyle w:val="Paragraphe"/>
        <w:spacing w:line="240" w:lineRule="auto"/>
      </w:pPr>
      <w:r w:rsidRPr="0089517D">
        <w:t>En l’absence de toute preuve à ce sujet, cette affirmation n’est tout simplement pas démontrée et ne peut renverser la forte présomption en faveur de la publicité du processus judiciaire</w:t>
      </w:r>
      <w:r w:rsidRPr="0089517D">
        <w:rPr>
          <w:rStyle w:val="Appelnotedebasdep"/>
        </w:rPr>
        <w:footnoteReference w:id="46"/>
      </w:r>
      <w:r w:rsidRPr="0089517D">
        <w:t xml:space="preserve">. Le tribunal ne peut présumer que des « barèmes d’indexation », qui lui sont inconnus, permettront d’arriver à un tel résultat. En outre, aucune preuve ne vient appuyer l’effet que pourrait avoir la divulgation de la valeur des profits non réalisés qu’espérait toucher EBC dans le contexte où le prix total de sa soumission est déjà public depuis novembre 2023, tout comme le prix de celle de son compétiteur. </w:t>
      </w:r>
    </w:p>
    <w:p w14:paraId="124632F5" w14:textId="543C86E2" w:rsidR="003E05D3" w:rsidRPr="0089517D" w:rsidRDefault="003E05D3" w:rsidP="003E05D3">
      <w:pPr>
        <w:pStyle w:val="Paragraphe"/>
        <w:spacing w:line="240" w:lineRule="auto"/>
      </w:pPr>
      <w:r w:rsidRPr="0089517D">
        <w:lastRenderedPageBreak/>
        <w:t>Selon moi, les inférences logiques ne peuvent venir au secours de cette absence de preuve, bien au contraire. L’appel d’offres date de 2023, il y a déjà trois ans</w:t>
      </w:r>
      <w:r w:rsidRPr="0089517D">
        <w:rPr>
          <w:rStyle w:val="Appelnotedebasdep"/>
        </w:rPr>
        <w:footnoteReference w:id="47"/>
      </w:r>
      <w:r w:rsidRPr="0089517D">
        <w:t>. Il porte sur un projet d’envergure d’une valeur évaluée à environ 100 millions $ à l’époque, si l’on se fie aux prix des soumissions déposées. La valeur globale des profits non réalisés en lien avec l’appel d’offres de 2023 ne donne aucune information sur la ventilation des nombreux coûts et sur les méthodes de travail retenues par EBC pour établir le prix de sa soumission. De nombreux éléments ont dû être évalués à l’époque pour l’établir, dont entre autres</w:t>
      </w:r>
      <w:r w:rsidR="00C83064" w:rsidRPr="0089517D">
        <w:t>,</w:t>
      </w:r>
      <w:r w:rsidRPr="0089517D">
        <w:t xml:space="preserve"> les coûts des divers sous-traitants, de la main-d’œuvre, des matériaux, de la machinerie et de tous les autres frais associés au projet. </w:t>
      </w:r>
    </w:p>
    <w:p w14:paraId="2A1DA591" w14:textId="68FBF778" w:rsidR="003E05D3" w:rsidRPr="0089517D" w:rsidRDefault="003E05D3" w:rsidP="003E05D3">
      <w:pPr>
        <w:pStyle w:val="Paragraphe"/>
        <w:spacing w:line="240" w:lineRule="auto"/>
      </w:pPr>
      <w:r w:rsidRPr="0089517D">
        <w:t xml:space="preserve">Le formulaire du bordereau de soumission, daté du 3 mai 2023, contient à lui seul 12 catégories, qui se divisent en 44 sous-catégories, visant à décomposer grossièrement le prix total de la soumission, sans donner de précisions pour l’ensemble des postes de dépenses. À la lecture de ce bordereau, force est de constater que l’évaluation qu’a effectuée EBC pour établir le prix total de sa soumission en 2023 est aujourd’hui obsolète en raison du temps écoulé. En effet, l’inférence logique est que le marché a nécessairement changé, considérant notamment l’inflation et les autres événements qui ont pu avoir une incidence sur les différents coûts. À titre d’exemple, les sous-traitants retenus pour évaluer la soumission ne sont peut-être plus en affaires ou disponibles. De même, les coûts des matériaux et de la machinerie peuvent avoir varié de façon importante. Les nombreuses variables pouvant </w:t>
      </w:r>
      <w:r w:rsidR="002A1750">
        <w:t xml:space="preserve">faire fluctuer </w:t>
      </w:r>
      <w:r w:rsidRPr="0089517D">
        <w:t xml:space="preserve">le montant d’une future soumission convainquent qu’il n’y a pas la démonstration dans les circonstances de l’existence d’un risque sérieux d’atteinte à l’intégrité d’un prochain processus d’appel d’offres. En effet, la prétention d’EBC se fonde sur l’hypothèse que sa future soumission sera nécessaire identique malgré le passage des années, ce qui ne peut se qualifier d’inférence logique.  </w:t>
      </w:r>
    </w:p>
    <w:p w14:paraId="4E6566DE" w14:textId="2BBB23E1" w:rsidR="003E05D3" w:rsidRPr="0089517D" w:rsidRDefault="003E05D3" w:rsidP="003E05D3">
      <w:pPr>
        <w:pStyle w:val="Paragraphe"/>
        <w:spacing w:line="240" w:lineRule="auto"/>
      </w:pPr>
      <w:r w:rsidRPr="0089517D">
        <w:t>Ainsi, la soustraction que les compétiteurs peuvent effectuer pour connaître le prix coûtant de la soumission d’EBC</w:t>
      </w:r>
      <w:r w:rsidR="00CC3004" w:rsidRPr="0089517D">
        <w:t>,</w:t>
      </w:r>
      <w:r w:rsidRPr="0089517D">
        <w:t xml:space="preserve"> qui date de 2023</w:t>
      </w:r>
      <w:r w:rsidR="00CC3004" w:rsidRPr="0089517D">
        <w:t>,</w:t>
      </w:r>
      <w:r w:rsidRPr="0089517D">
        <w:t xml:space="preserve"> ne peut logiquement les informer sur le prix coûtant d’un éventuel appel d’offres, puisque ce chiffre ne permet pas de déterminer le prix coûtant d’une future soumission et ne révèle aucune méthode pour l’établir. </w:t>
      </w:r>
    </w:p>
    <w:p w14:paraId="23283F85" w14:textId="7F9E7187" w:rsidR="003E05D3" w:rsidRPr="0089517D" w:rsidRDefault="003E05D3" w:rsidP="003E05D3">
      <w:pPr>
        <w:pStyle w:val="Paragraphe"/>
        <w:spacing w:line="240" w:lineRule="auto"/>
      </w:pPr>
      <w:r w:rsidRPr="0089517D">
        <w:t>À cela s’ajoute le fait que rien n’établit le moment auquel pourrait avoir lieu le futur appel d’offres, alors que trois années se sont déjà écoulées depuis celui en cause. En outre, en plus des années qui passent, d’autres aspects pourraient varier</w:t>
      </w:r>
      <w:r w:rsidR="00600B88" w:rsidRPr="0089517D">
        <w:t> </w:t>
      </w:r>
      <w:r w:rsidRPr="0089517D">
        <w:t xml:space="preserve">: la Ville pourrait décider de modifier son appel d’offres, soit en révisant le projet ou encore en le divisant en diverses phases, ou encore les méthodes d’exécution des travaux pourraient évoluer, </w:t>
      </w:r>
      <w:r w:rsidRPr="0089517D">
        <w:lastRenderedPageBreak/>
        <w:t>rendant l’information de 2023 sans pertinence. L’ensemble démontre la nature hautement hypothétique du risque allégué.</w:t>
      </w:r>
    </w:p>
    <w:p w14:paraId="5A19A83B" w14:textId="77777777" w:rsidR="003E05D3" w:rsidRPr="0089517D" w:rsidRDefault="003E05D3" w:rsidP="003E05D3">
      <w:pPr>
        <w:pStyle w:val="Paragraphe"/>
        <w:spacing w:line="240" w:lineRule="auto"/>
      </w:pPr>
      <w:r w:rsidRPr="0089517D">
        <w:t>D’ailleurs, dans sa contestation de la demande de confidentialité présentée par EBC, la Ville plaide que l’éventuel appel d’offres, dont les paramètres demeurent inconnus, aura lieu dans un marché où les conditions auront évolué. Elle souligne que « plusieurs facteurs peuvent inciter un soumissionnaire à modifier le pourcentage de profits qu’il compte d’une soumission à l’autre, comme occuper et conserver son personnel, développer un nouveau marché, acquérir une expertise spécifique, etc. »</w:t>
      </w:r>
      <w:r w:rsidRPr="0089517D">
        <w:rPr>
          <w:rStyle w:val="Appelnotedebasdep"/>
        </w:rPr>
        <w:footnoteReference w:id="48"/>
      </w:r>
      <w:r w:rsidRPr="0089517D">
        <w:t xml:space="preserve">. Il s’agit d’inférences logiques que je retiens, lesquelles permettent de conclure qu’EBC ne démontre pas que l’intégrité du futur appel d’offres est sérieusement menacée dans les circonstances par la divulgation du montant des profits non réalisés lors du processus de 2023. </w:t>
      </w:r>
    </w:p>
    <w:p w14:paraId="2557D440" w14:textId="77777777" w:rsidR="003E05D3" w:rsidRPr="0089517D" w:rsidRDefault="003E05D3" w:rsidP="003E05D3">
      <w:pPr>
        <w:pStyle w:val="Paragraphe"/>
        <w:spacing w:line="240" w:lineRule="auto"/>
      </w:pPr>
      <w:r w:rsidRPr="0089517D">
        <w:t xml:space="preserve">EBC plaide qu’elle sera désavantagée par rapport à ses compétiteurs qui connaîtront le montant des profits qu’elle espérait réaliser en 2023 en exécutant le projet, alors qu’elle ne détiendra pas la même information à leur sujet. Certes, il sera possible d’établir au moyen du prix coûtant le pourcentage de profits appliqué par EBC pour déterminer le prix total de sa soumission en 2023. Toutefois, cela ne permettra pas de conclure qu’EBC retiendra le même pourcentage de profits lors d’un éventuel appel d’offres pour le même projet. En effet, le pourcentage retenu à l’époque devait nécessairement tenir compte de la situation de l’entreprise en 2023, dont l’importance que le projet représentait pour EBC à ce moment par rapport à sa situation globale et son niveau d’occupation. EBC ne convainc pas que sa situation sera nécessairement la même lors d’un prochain appel d’offres. Ainsi, cette information, qui date déjà de trois ans, n’a pas la pertinence que veut lui donner EBC. </w:t>
      </w:r>
    </w:p>
    <w:p w14:paraId="3576558C" w14:textId="77777777" w:rsidR="003E05D3" w:rsidRPr="0089517D" w:rsidRDefault="003E05D3" w:rsidP="003E05D3">
      <w:pPr>
        <w:pStyle w:val="Paragraphe"/>
        <w:spacing w:line="240" w:lineRule="auto"/>
      </w:pPr>
      <w:r w:rsidRPr="0089517D">
        <w:t xml:space="preserve">En outre, même si je devais considérer que cette information est pertinente, l’intérêt commercial particulier d’EBC n’équivaut pas à un intérêt commercial public pouvant justifier une restriction au caractère public du processus judiciaire. En effet, comme le souligne la Cour suprême dans l’arrêt </w:t>
      </w:r>
      <w:r w:rsidRPr="0089517D">
        <w:rPr>
          <w:i/>
          <w:iCs/>
        </w:rPr>
        <w:t>Sierra Club</w:t>
      </w:r>
      <w:r w:rsidRPr="0089517D">
        <w:t xml:space="preserve"> « une entreprise privée ne pourrait simplement prétendre que l’existence d’un contrat donné ne devrait pas être divulguée parce que cela lui ferait perdre des occasions d’affaires, et que cela nuirait à ses intérêts commerciaux »</w:t>
      </w:r>
      <w:r w:rsidRPr="0089517D">
        <w:rPr>
          <w:rStyle w:val="Appelnotedebasdep"/>
        </w:rPr>
        <w:footnoteReference w:id="49"/>
      </w:r>
      <w:r w:rsidRPr="0089517D">
        <w:t>.</w:t>
      </w:r>
    </w:p>
    <w:p w14:paraId="17BC9B7A" w14:textId="451254AD" w:rsidR="003E05D3" w:rsidRPr="0089517D" w:rsidRDefault="003E05D3" w:rsidP="003E05D3">
      <w:pPr>
        <w:pStyle w:val="Paragraphe"/>
        <w:spacing w:line="240" w:lineRule="auto"/>
      </w:pPr>
      <w:r w:rsidRPr="0089517D">
        <w:t>EBC plaide que ce n’est pas seulement son intérêt commercial qui sera affecté, mais bien l’intérêt de l’ensemble des contribuables montréalais. Selon elle, ces derniers bénéficieront de la compétitivité de la soumission qu’elle déposera lors de l’éventuel appel d’offres, puisque</w:t>
      </w:r>
      <w:r w:rsidR="00C83064" w:rsidRPr="0089517D">
        <w:t>,</w:t>
      </w:r>
      <w:r w:rsidRPr="0089517D">
        <w:t xml:space="preserve"> si elle l’emporte, elle renoncera à son recours actuel. Cet argument, hautement hypothétique, ne convainc pas davantage. Comme je l’ai expliqué, </w:t>
      </w:r>
      <w:r w:rsidRPr="0089517D">
        <w:lastRenderedPageBreak/>
        <w:t>il n’est pas démontré que la valeur des profits non réalisés par EBC en 2023 donne une information pertinente pour un prochain appel d’offres et ne désavantage pas l’entreprise par rapport à ses compétiteurs. Ainsi, EBC ne réussit pas à établir l’effet préjudiciable de la divulgation en litige sur ses chances de remporter le futur appel d’offres, même en tenant pour acquis que celui-ci suivra les mêmes paramètres, ce qui n’est pas non plus démontré. Si EBC ne parvient pas à faire cette démonstration, la forte présomption en faveur du caractère public du processus judiciaire doit prévaloir. Sa demande ne peut s’appuyer sur des conjectures.</w:t>
      </w:r>
    </w:p>
    <w:p w14:paraId="39A552F7" w14:textId="50E2672B" w:rsidR="003E05D3" w:rsidRPr="0089517D" w:rsidRDefault="003E05D3" w:rsidP="003E05D3">
      <w:pPr>
        <w:pStyle w:val="Paragraphe"/>
        <w:spacing w:line="240" w:lineRule="auto"/>
      </w:pPr>
      <w:r w:rsidRPr="0089517D">
        <w:t>EBC souligne que la Ville elle-même a reconnu dans sa demande de scission de l’instance que la divulgation de l’information en lien avec l’appel d’offres de 2023 comporterait des risques élevés d’entacher l’intégrité du nouvel appel d’offres en mettant en échec le principe de l’égalité des soumissionnaires. Il est vrai que la Ville avance cet argument dans sa demande de scission, mais elle le fait en lien avec la communication des détails des « informations sensibles et confidentielles</w:t>
      </w:r>
      <w:r w:rsidR="003A18AF" w:rsidRPr="0089517D">
        <w:t xml:space="preserve"> </w:t>
      </w:r>
      <w:r w:rsidRPr="0089517D">
        <w:t>[…] quant aux aspects comptables et techniques de la soumission qu’EBC a déposée dans le cadre de l’appel d’offres » de 2023</w:t>
      </w:r>
      <w:r w:rsidRPr="0089517D">
        <w:rPr>
          <w:rStyle w:val="Appelnotedebasdep"/>
        </w:rPr>
        <w:footnoteReference w:id="50"/>
      </w:r>
      <w:r w:rsidRPr="0089517D">
        <w:t>. La Ville ne fait pas référence au montant global des profits non réalisés lors de l’appel d’offres de 2023, mais bien aux détails et à la ventilation des divers coûts en cause, comme le prix coûtant des contrats de sous-traitance ou des différents matériaux. Cette preuve sera seulement nécessaire lors de l’évaluation du quantum des dommages-intérêts, si la faute de la Ville est retenue. Par ailleurs, la position de la Ville à ce sujet ne lie pas le tribunal.</w:t>
      </w:r>
    </w:p>
    <w:p w14:paraId="166C97B0" w14:textId="189CB94F" w:rsidR="003E05D3" w:rsidRPr="0089517D" w:rsidRDefault="003E05D3" w:rsidP="003E05D3">
      <w:pPr>
        <w:pStyle w:val="Paragraphe"/>
        <w:spacing w:line="240" w:lineRule="auto"/>
      </w:pPr>
      <w:r w:rsidRPr="0089517D">
        <w:t>EBC plaide que la Ville se base sur « des conjectures de son propre cru » pour affirmer que l’information sera d’un intérêt relatif en raison du temps écoulé, argument qu’elle n’appuie sur aucune preuve</w:t>
      </w:r>
      <w:r w:rsidRPr="0089517D">
        <w:rPr>
          <w:rStyle w:val="Appelnotedebasdep"/>
        </w:rPr>
        <w:footnoteReference w:id="51"/>
      </w:r>
      <w:r w:rsidRPr="0089517D">
        <w:t xml:space="preserve">. Ce faisant, EBC oublie que le fardeau de renverser la forte présomption en faveur du caractère public du processus judiciaire repose sur ses épaules. La Cour suprême soulignait dans l’arrêt </w:t>
      </w:r>
      <w:r w:rsidRPr="0089517D">
        <w:rPr>
          <w:i/>
          <w:iCs/>
        </w:rPr>
        <w:t>Toronto Star Newspapers Ltd.</w:t>
      </w:r>
      <w:r w:rsidRPr="0089517D">
        <w:rPr>
          <w:iCs/>
        </w:rPr>
        <w:t xml:space="preserve"> </w:t>
      </w:r>
      <w:r w:rsidRPr="0089517D">
        <w:rPr>
          <w:i/>
        </w:rPr>
        <w:t>c.</w:t>
      </w:r>
      <w:r w:rsidRPr="0089517D">
        <w:rPr>
          <w:iCs/>
        </w:rPr>
        <w:t xml:space="preserve"> </w:t>
      </w:r>
      <w:r w:rsidRPr="0089517D">
        <w:rPr>
          <w:i/>
          <w:iCs/>
        </w:rPr>
        <w:t>Ontario</w:t>
      </w:r>
      <w:r w:rsidRPr="0089517D">
        <w:t>,</w:t>
      </w:r>
      <w:r w:rsidR="003A18AF" w:rsidRPr="0089517D">
        <w:rPr>
          <w:i/>
          <w:iCs/>
        </w:rPr>
        <w:t xml:space="preserve"> </w:t>
      </w:r>
      <w:r w:rsidRPr="0089517D">
        <w:t xml:space="preserve">portant sur une demande de mise sous scellés de mandats de perquisition et autres documents connexes dans le cadre d’enquête criminelle en cours, qu’il faut se garder d’adopter une telle approche : </w:t>
      </w:r>
    </w:p>
    <w:p w14:paraId="5F03F920" w14:textId="4F7DD9A0" w:rsidR="003E05D3" w:rsidRPr="0089517D" w:rsidRDefault="003E05D3" w:rsidP="00EC2F92">
      <w:pPr>
        <w:pStyle w:val="Citationenretrait"/>
        <w:tabs>
          <w:tab w:val="left" w:pos="1134"/>
        </w:tabs>
        <w:spacing w:line="240" w:lineRule="auto"/>
      </w:pPr>
      <w:r w:rsidRPr="0089517D">
        <w:t>[9]</w:t>
      </w:r>
      <w:r w:rsidR="003A18AF" w:rsidRPr="0089517D">
        <w:tab/>
      </w:r>
      <w:r w:rsidRPr="0089517D">
        <w:t xml:space="preserve">Toutefois, même dans ce cas, une allégation générale selon laquelle la publicité des débats pourrait compromettre l’efficacité de l’enquête ne pourra étayer à elle seule une demande visant à restreindre l’accès du public à des procédures judiciaires. </w:t>
      </w:r>
      <w:r w:rsidRPr="0089517D">
        <w:rPr>
          <w:u w:val="single"/>
        </w:rPr>
        <w:t>Si une telle allégation générale suffisait à justifier une ordonnance de mise sous scellés, la présomption jouerait en faveur du secret, plutôt que de la publicité des débats, ce qui serait tout simplement inacceptable</w:t>
      </w:r>
      <w:r w:rsidRPr="0089517D">
        <w:t>.</w:t>
      </w:r>
      <w:r w:rsidRPr="0089517D">
        <w:rPr>
          <w:rStyle w:val="Appelnotedebasdep"/>
        </w:rPr>
        <w:footnoteReference w:id="52"/>
      </w:r>
    </w:p>
    <w:p w14:paraId="367937B0" w14:textId="77777777" w:rsidR="003E05D3" w:rsidRPr="0089517D" w:rsidRDefault="003E05D3" w:rsidP="003E05D3">
      <w:pPr>
        <w:pStyle w:val="Paragraphe"/>
        <w:spacing w:line="240" w:lineRule="auto"/>
      </w:pPr>
      <w:r w:rsidRPr="0089517D">
        <w:lastRenderedPageBreak/>
        <w:t xml:space="preserve">Il ne suffit pas d’affirmer qu’il existe un risque sérieux pour un intérêt commercial public important pour convaincre que les principes fondamentaux des appels d’offres seront compromis si la somme réclamée par EBC devient publique. Comme l’affirme le juge Kasirer dans l’arrêt </w:t>
      </w:r>
      <w:r w:rsidRPr="0089517D">
        <w:rPr>
          <w:i/>
          <w:iCs/>
        </w:rPr>
        <w:t>Sherman</w:t>
      </w:r>
      <w:r w:rsidRPr="0089517D">
        <w:t>, ce raisonnement « repose sur des conjectures, et non sur les éléments de preuve par affidavit présentés, et ne peut être considéré comme une inférence appropriée ou un quelconque préjudice ou risque de préjudice objectivement discerné »</w:t>
      </w:r>
      <w:r w:rsidRPr="0089517D">
        <w:rPr>
          <w:rStyle w:val="Appelnotedebasdep"/>
        </w:rPr>
        <w:footnoteReference w:id="53"/>
      </w:r>
      <w:r w:rsidRPr="0089517D">
        <w:t xml:space="preserve">. EBC ne se décharge pas du fardeau qui lui incombait d’établir l'existence, dans le cas particulier qu’elle invoque, d'un risque sérieux pour l’intégrité d’un futur appel d’offres.  </w:t>
      </w:r>
    </w:p>
    <w:p w14:paraId="635A2677" w14:textId="77777777" w:rsidR="003E05D3" w:rsidRPr="0089517D" w:rsidRDefault="003E05D3" w:rsidP="003E05D3">
      <w:pPr>
        <w:pStyle w:val="Paragraphe"/>
        <w:spacing w:line="240" w:lineRule="auto"/>
      </w:pPr>
      <w:r w:rsidRPr="0089517D">
        <w:t xml:space="preserve">Au regard de ces conclusions, il va de soi que l’ordonnance demandée n’était pas nécessaire au sens du deuxième critère de l’arrêt </w:t>
      </w:r>
      <w:r w:rsidRPr="0089517D">
        <w:rPr>
          <w:i/>
          <w:iCs/>
        </w:rPr>
        <w:t>Sherman</w:t>
      </w:r>
      <w:r w:rsidRPr="0089517D">
        <w:t xml:space="preserve">. En somme, l’ordonnance demandée ne devait pas être accordée. </w:t>
      </w:r>
    </w:p>
    <w:p w14:paraId="148280AB" w14:textId="77777777" w:rsidR="003E05D3" w:rsidRPr="0089517D" w:rsidRDefault="003E05D3" w:rsidP="003E05D3">
      <w:pPr>
        <w:pStyle w:val="Paragraphe"/>
        <w:spacing w:line="240" w:lineRule="auto"/>
      </w:pPr>
      <w:r w:rsidRPr="0089517D">
        <w:t xml:space="preserve">Bien que cette conclusion suffise à régler le sort du pourvoi, je m’attarde néanmoins au troisième moyen, considérant la nature de l’information qu’EBC voulait maintenir confidentielle.  </w:t>
      </w:r>
    </w:p>
    <w:p w14:paraId="6D8EE700" w14:textId="77777777" w:rsidR="003E05D3" w:rsidRPr="0089517D" w:rsidRDefault="003E05D3" w:rsidP="003E05D3">
      <w:pPr>
        <w:pStyle w:val="Titre3"/>
        <w:spacing w:line="240" w:lineRule="auto"/>
        <w:rPr>
          <w:b/>
          <w:bCs/>
        </w:rPr>
      </w:pPr>
      <w:r w:rsidRPr="0089517D">
        <w:rPr>
          <w:b/>
          <w:bCs/>
        </w:rPr>
        <w:t>4.3. Proportionnalité</w:t>
      </w:r>
    </w:p>
    <w:p w14:paraId="1E40E4C3" w14:textId="77777777" w:rsidR="003E05D3" w:rsidRPr="0089517D" w:rsidRDefault="003E05D3" w:rsidP="003E05D3">
      <w:pPr>
        <w:pStyle w:val="Paragraphe"/>
        <w:spacing w:line="240" w:lineRule="auto"/>
      </w:pPr>
      <w:r w:rsidRPr="0089517D">
        <w:t>Dans ses motifs, la juge se limite à affirmer que l’ordonnance est proportionnelle, car elle est restreinte à la somme en litige et est limitée dans le temps. Ce faisant, elle n’analyse nullement les effets négatifs qu’entraîne l’ordonnance sur le principe de la publicité. Elle commet ainsi une erreur révisable.</w:t>
      </w:r>
    </w:p>
    <w:p w14:paraId="3A94C6C3" w14:textId="77777777" w:rsidR="003E05D3" w:rsidRPr="0089517D" w:rsidRDefault="003E05D3" w:rsidP="003E05D3">
      <w:pPr>
        <w:pStyle w:val="Paragraphe"/>
        <w:spacing w:line="240" w:lineRule="auto"/>
      </w:pPr>
      <w:r w:rsidRPr="0089517D">
        <w:t xml:space="preserve">Dès l’arrêt </w:t>
      </w:r>
      <w:r w:rsidRPr="0089517D">
        <w:rPr>
          <w:i/>
          <w:iCs/>
        </w:rPr>
        <w:t>Dagenais</w:t>
      </w:r>
      <w:r w:rsidRPr="0089517D">
        <w:t>, le juge en chef Lamer écrit, pour la majorité de la Cour suprême, que « si l’interdiction de publication a des effets préjudiciables graves sur la liberté d’expression et des effets bénéfiques négligeables sur l’équité du procès, elle ne sera pas autorisée »</w:t>
      </w:r>
      <w:r w:rsidRPr="0089517D">
        <w:rPr>
          <w:rStyle w:val="Appelnotedebasdep"/>
        </w:rPr>
        <w:footnoteReference w:id="54"/>
      </w:r>
      <w:r w:rsidRPr="0089517D">
        <w:t xml:space="preserve">. Dans l’arrêt </w:t>
      </w:r>
      <w:r w:rsidRPr="0089517D">
        <w:rPr>
          <w:i/>
          <w:iCs/>
        </w:rPr>
        <w:t>Mentuck</w:t>
      </w:r>
      <w:r w:rsidRPr="0089517D">
        <w:t>, le juge Iacobucci, au nom de la Cour suprême, souligne que la restriction de l’information concernant des questions susceptibles d’entraîner un débat public porte gravement atteinte à la publicité du processus judiciaire, ce qui doit être considéré dans le cadre de l’analyse de la proportionnalité</w:t>
      </w:r>
      <w:r w:rsidRPr="0089517D">
        <w:rPr>
          <w:rStyle w:val="Appelnotedebasdep"/>
        </w:rPr>
        <w:footnoteReference w:id="55"/>
      </w:r>
      <w:r w:rsidRPr="0089517D">
        <w:t xml:space="preserve">. Il précise sa pensée dans l’arrêt </w:t>
      </w:r>
      <w:r w:rsidRPr="0089517D">
        <w:rPr>
          <w:i/>
          <w:iCs/>
        </w:rPr>
        <w:t>Sierra Club</w:t>
      </w:r>
      <w:r w:rsidRPr="0089517D">
        <w:t xml:space="preserve"> en affirmant que, plus l’ordonnance de confidentialité porte préjudice au cœur des valeurs fondamentales de la liberté d’expression qui sous-tend le principe protégeant le caractère public des débats, plus cet effet négatif sera important et difficile à justifier du point de vue de la proportionnalité</w:t>
      </w:r>
      <w:r w:rsidRPr="0089517D">
        <w:rPr>
          <w:rStyle w:val="Appelnotedebasdep"/>
        </w:rPr>
        <w:footnoteReference w:id="56"/>
      </w:r>
      <w:r w:rsidRPr="0089517D">
        <w:t xml:space="preserve">. Les litiges, qui impliquent des organismes publics et transcendent </w:t>
      </w:r>
      <w:r w:rsidRPr="0089517D">
        <w:lastRenderedPageBreak/>
        <w:t xml:space="preserve">l’intérêt des parties, méritent un degré élevé de protection lors de l’analyse de la proportionnalité : </w:t>
      </w:r>
    </w:p>
    <w:p w14:paraId="7899E9F9" w14:textId="598117E3" w:rsidR="003E05D3" w:rsidRPr="0089517D" w:rsidRDefault="003E05D3" w:rsidP="006070E0">
      <w:pPr>
        <w:pStyle w:val="Citationenretrait"/>
        <w:spacing w:line="240" w:lineRule="auto"/>
      </w:pPr>
      <w:r w:rsidRPr="0089517D">
        <w:t>[83]</w:t>
      </w:r>
      <w:r w:rsidR="003A18AF" w:rsidRPr="0089517D">
        <w:tab/>
      </w:r>
      <w:r w:rsidRPr="0089517D">
        <w:t xml:space="preserve">Puisque les affaires concernant des </w:t>
      </w:r>
      <w:r w:rsidRPr="0089517D">
        <w:rPr>
          <w:u w:val="single"/>
        </w:rPr>
        <w:t>institutions publiques</w:t>
      </w:r>
      <w:r w:rsidRPr="0089517D">
        <w:t xml:space="preserve"> ont généralement un </w:t>
      </w:r>
      <w:r w:rsidRPr="0089517D">
        <w:rPr>
          <w:b/>
          <w:bCs/>
        </w:rPr>
        <w:t>lien plus étroit avec la valeur fondamentale de la participation du public au processus politique, la nature publique d’une instance devrait être prise en considération</w:t>
      </w:r>
      <w:r w:rsidRPr="0089517D">
        <w:t xml:space="preserve"> dans l’évaluation du bien</w:t>
      </w:r>
      <w:r w:rsidRPr="0089517D">
        <w:rPr>
          <w:rFonts w:ascii="Cambria Math" w:hAnsi="Cambria Math" w:cs="Cambria Math"/>
        </w:rPr>
        <w:t>‐</w:t>
      </w:r>
      <w:r w:rsidRPr="0089517D">
        <w:t>fond</w:t>
      </w:r>
      <w:r w:rsidRPr="0089517D">
        <w:rPr>
          <w:rFonts w:cs="Arial"/>
        </w:rPr>
        <w:t>é</w:t>
      </w:r>
      <w:r w:rsidRPr="0089517D">
        <w:t xml:space="preserve"> d</w:t>
      </w:r>
      <w:r w:rsidRPr="0089517D">
        <w:rPr>
          <w:rFonts w:cs="Arial"/>
        </w:rPr>
        <w:t>’</w:t>
      </w:r>
      <w:r w:rsidRPr="0089517D">
        <w:t>une ordonnance de confidentialit</w:t>
      </w:r>
      <w:r w:rsidRPr="0089517D">
        <w:rPr>
          <w:rFonts w:cs="Arial"/>
        </w:rPr>
        <w:t>é</w:t>
      </w:r>
      <w:r w:rsidRPr="0089517D">
        <w:t>. […] le lien entre la publicité des débats judiciaires et la participation du public dans le processus politique s’accentue lorsque le processus politique est également engagé par la</w:t>
      </w:r>
      <w:r w:rsidR="003A18AF" w:rsidRPr="0089517D">
        <w:t xml:space="preserve"> </w:t>
      </w:r>
      <w:r w:rsidRPr="0089517D">
        <w:rPr>
          <w:u w:val="single"/>
        </w:rPr>
        <w:t>substance</w:t>
      </w:r>
      <w:r w:rsidR="003A18AF" w:rsidRPr="0089517D">
        <w:t xml:space="preserve"> </w:t>
      </w:r>
      <w:r w:rsidRPr="0089517D">
        <w:t>de la procédure.</w:t>
      </w:r>
    </w:p>
    <w:p w14:paraId="43B1EC12" w14:textId="77777777" w:rsidR="003E05D3" w:rsidRPr="0089517D" w:rsidRDefault="003E05D3" w:rsidP="006070E0">
      <w:pPr>
        <w:pStyle w:val="Citationenretrait"/>
        <w:spacing w:line="240" w:lineRule="auto"/>
      </w:pPr>
      <w:r w:rsidRPr="0089517D">
        <w:t>[…]</w:t>
      </w:r>
    </w:p>
    <w:p w14:paraId="1BBA36B3" w14:textId="31AAA5FF" w:rsidR="003E05D3" w:rsidRPr="0089517D" w:rsidRDefault="003E05D3" w:rsidP="006070E0">
      <w:pPr>
        <w:pStyle w:val="Citationenretrait"/>
        <w:spacing w:line="240" w:lineRule="auto"/>
      </w:pPr>
      <w:r w:rsidRPr="0089517D">
        <w:t>[86]</w:t>
      </w:r>
      <w:r w:rsidR="003A18AF" w:rsidRPr="0089517D">
        <w:tab/>
      </w:r>
      <w:r w:rsidRPr="0089517D">
        <w:t xml:space="preserve">[…] il importe tout autant de prendre en compte </w:t>
      </w:r>
      <w:r w:rsidRPr="0089517D">
        <w:rPr>
          <w:b/>
          <w:bCs/>
        </w:rPr>
        <w:t>la nature et la portée des renseignements visés par l’ordonnance demandée, lorsqu’il s’agit d’apprécier le poids de l’intérêt public</w:t>
      </w:r>
      <w:r w:rsidRPr="0089517D">
        <w:t xml:space="preserve">. […] La publicité des débats judiciaires est un principe fondamentalement important, surtout lorsque </w:t>
      </w:r>
      <w:r w:rsidRPr="0089517D">
        <w:rPr>
          <w:b/>
          <w:bCs/>
        </w:rPr>
        <w:t>la substance de la procédure est de nature publique</w:t>
      </w:r>
      <w:r w:rsidRPr="0089517D">
        <w:t>.</w:t>
      </w:r>
      <w:r w:rsidRPr="0089517D">
        <w:rPr>
          <w:rStyle w:val="Appelnotedebasdep"/>
        </w:rPr>
        <w:footnoteReference w:id="57"/>
      </w:r>
    </w:p>
    <w:p w14:paraId="51D1216E" w14:textId="69A606D8" w:rsidR="003E05D3" w:rsidRPr="0089517D" w:rsidRDefault="003E05D3" w:rsidP="003E05D3">
      <w:pPr>
        <w:pStyle w:val="Citationenretrait"/>
        <w:spacing w:line="240" w:lineRule="auto"/>
        <w:jc w:val="right"/>
      </w:pPr>
      <w:r w:rsidRPr="0089517D">
        <w:t>[Soulignements dans l’original; caractère</w:t>
      </w:r>
      <w:r w:rsidR="00862716">
        <w:t>s</w:t>
      </w:r>
      <w:r w:rsidRPr="0089517D">
        <w:t xml:space="preserve"> gras ajouté</w:t>
      </w:r>
      <w:r w:rsidR="00862716">
        <w:t>s</w:t>
      </w:r>
      <w:r w:rsidRPr="0089517D">
        <w:t>]</w:t>
      </w:r>
    </w:p>
    <w:p w14:paraId="5EFC5FD6" w14:textId="77777777" w:rsidR="003E05D3" w:rsidRPr="0089517D" w:rsidRDefault="003E05D3" w:rsidP="003E05D3">
      <w:pPr>
        <w:pStyle w:val="Paragraphe"/>
        <w:spacing w:line="240" w:lineRule="auto"/>
      </w:pPr>
      <w:r w:rsidRPr="0089517D">
        <w:t xml:space="preserve">Comme le souligne le juge Kasirer dans l’arrêt </w:t>
      </w:r>
      <w:r w:rsidRPr="0089517D">
        <w:rPr>
          <w:i/>
          <w:iCs/>
        </w:rPr>
        <w:t>Sherman</w:t>
      </w:r>
      <w:r w:rsidRPr="0089517D">
        <w:t>, il « importe de se demander si les renseignements que l’ordonnance vise à protéger sont accessoires ou essentiels au processus judiciaire »</w:t>
      </w:r>
      <w:r w:rsidRPr="0089517D">
        <w:rPr>
          <w:rStyle w:val="Appelnotedebasdep"/>
        </w:rPr>
        <w:footnoteReference w:id="58"/>
      </w:r>
      <w:r w:rsidRPr="0089517D">
        <w:t>. En effet, une ordonnance qui restreint le caractère public d’une information centrale au recours accentue le besoin de transparence dans l’intérêt public</w:t>
      </w:r>
      <w:r w:rsidRPr="0089517D">
        <w:rPr>
          <w:rStyle w:val="Appelnotedebasdep"/>
        </w:rPr>
        <w:footnoteReference w:id="59"/>
      </w:r>
      <w:r w:rsidRPr="0089517D">
        <w:t>.</w:t>
      </w:r>
    </w:p>
    <w:p w14:paraId="12F57DA5" w14:textId="77777777" w:rsidR="003E05D3" w:rsidRPr="0089517D" w:rsidRDefault="003E05D3" w:rsidP="003E05D3">
      <w:pPr>
        <w:pStyle w:val="Paragraphe"/>
        <w:spacing w:line="240" w:lineRule="auto"/>
      </w:pPr>
      <w:r w:rsidRPr="0089517D">
        <w:t xml:space="preserve">L’ordonnance de confidentialité demandée vise une information essentielle au recours entrepris : la somme réclamée. Je ne connais aucun précédent jurisprudentiel québécois qui ait accordé une ordonnance de confidentialité à un tel renseignement. Il faut être extrêmement prudent avant de permettre un tel accroc au principe fondamental du caractère public des débats judiciaires. </w:t>
      </w:r>
    </w:p>
    <w:p w14:paraId="6EE1E1CE" w14:textId="77777777" w:rsidR="003E05D3" w:rsidRPr="0089517D" w:rsidRDefault="003E05D3" w:rsidP="003E05D3">
      <w:pPr>
        <w:pStyle w:val="Paragraphe"/>
        <w:spacing w:line="240" w:lineRule="auto"/>
      </w:pPr>
      <w:r w:rsidRPr="0089517D">
        <w:t xml:space="preserve">Mais il y a plus. </w:t>
      </w:r>
    </w:p>
    <w:p w14:paraId="6AA084E2" w14:textId="77777777" w:rsidR="003E05D3" w:rsidRPr="0089517D" w:rsidRDefault="003E05D3" w:rsidP="003E05D3">
      <w:pPr>
        <w:pStyle w:val="Paragraphe"/>
        <w:spacing w:line="240" w:lineRule="auto"/>
      </w:pPr>
      <w:r w:rsidRPr="0089517D">
        <w:t xml:space="preserve">Il s’agit d’un recours entrepris contre une municipalité qui implique des fonds publics. Dans ce contexte, l’ensemble des Montréalais ont intérêt à ce que la somme réclamée soit publique et que le processus judiciaire soit transparent à ce sujet, puisque ce sont leurs taxes qui sont en jeu. EBC cherche à garder confidentielle une information </w:t>
      </w:r>
      <w:r w:rsidRPr="0089517D">
        <w:lastRenderedPageBreak/>
        <w:t xml:space="preserve">qui concerne le cœur des valeurs protégées par la liberté d’expression et le caractère public du processus judiciaire, soit la recherche de la vérité, le bien commun et la participation au processus politique ainsi qu’au débat public. </w:t>
      </w:r>
    </w:p>
    <w:p w14:paraId="2B16C56B" w14:textId="77777777" w:rsidR="003E05D3" w:rsidRPr="0089517D" w:rsidRDefault="003E05D3" w:rsidP="003E05D3">
      <w:pPr>
        <w:pStyle w:val="Paragraphe"/>
        <w:spacing w:line="240" w:lineRule="auto"/>
      </w:pPr>
      <w:r w:rsidRPr="0089517D">
        <w:t xml:space="preserve">Ainsi, même si j’avais conclu que l’ordonnance était nécessaire pour écarter un risque sérieux pour un intérêt public important, je conclus sans hésitation que les effets négatifs de l’ordonnance demandée sur le principe de la publicité l’emportent aisément sur les avantages pouvant découler de l’ordonnance sollicitée, considérant la nature de l’information en cause.   </w:t>
      </w:r>
    </w:p>
    <w:p w14:paraId="23A06241" w14:textId="77777777" w:rsidR="003E05D3" w:rsidRPr="0089517D" w:rsidRDefault="003E05D3" w:rsidP="006070E0">
      <w:pPr>
        <w:pStyle w:val="Paragraphe"/>
        <w:numPr>
          <w:ilvl w:val="0"/>
          <w:numId w:val="0"/>
        </w:numPr>
        <w:spacing w:line="240" w:lineRule="auto"/>
        <w:jc w:val="center"/>
      </w:pPr>
      <w:r w:rsidRPr="0089517D">
        <w:t>* * *</w:t>
      </w:r>
    </w:p>
    <w:p w14:paraId="6745042E" w14:textId="4F07AD61" w:rsidR="006070E0" w:rsidRPr="0089517D" w:rsidRDefault="006070E0" w:rsidP="00CC3004">
      <w:pPr>
        <w:pStyle w:val="Titre1"/>
        <w:numPr>
          <w:ilvl w:val="0"/>
          <w:numId w:val="19"/>
        </w:numPr>
        <w:spacing w:before="120" w:after="120" w:line="240" w:lineRule="auto"/>
        <w:rPr>
          <w:caps/>
          <w:szCs w:val="24"/>
        </w:rPr>
      </w:pPr>
      <w:r w:rsidRPr="0089517D">
        <w:rPr>
          <w:caps/>
          <w:sz w:val="24"/>
          <w:szCs w:val="24"/>
        </w:rPr>
        <w:t>CONCLUSION</w:t>
      </w:r>
    </w:p>
    <w:p w14:paraId="5AE61CEC" w14:textId="652287E3" w:rsidR="003E05D3" w:rsidRPr="0089517D" w:rsidRDefault="003E05D3" w:rsidP="003E05D3">
      <w:pPr>
        <w:pStyle w:val="Paragraphe"/>
        <w:spacing w:line="240" w:lineRule="auto"/>
      </w:pPr>
      <w:r w:rsidRPr="0089517D">
        <w:t>Pour ces motifs, je propose d’accueillir l’appel, d’infirmer le jugement de première instance</w:t>
      </w:r>
      <w:r w:rsidR="00CC3004" w:rsidRPr="0089517D">
        <w:t>,</w:t>
      </w:r>
      <w:r w:rsidRPr="0089517D">
        <w:t xml:space="preserve"> de rejeter</w:t>
      </w:r>
      <w:r w:rsidR="00862716">
        <w:t xml:space="preserve">, en partie, </w:t>
      </w:r>
      <w:r w:rsidRPr="0089517D">
        <w:t>la demande d’avis de gestion d’instance d’EBC datée du 16 janvier 2025</w:t>
      </w:r>
      <w:r w:rsidR="00CC3004" w:rsidRPr="0089517D">
        <w:t xml:space="preserve"> et d’ordonner le dépôt d’une demande introductive d’instance</w:t>
      </w:r>
      <w:r w:rsidR="00ED501C" w:rsidRPr="0089517D">
        <w:t xml:space="preserve"> modifiée en conséquence</w:t>
      </w:r>
      <w:r w:rsidR="00CC3004" w:rsidRPr="0089517D">
        <w:t xml:space="preserve"> dans les 45 jours</w:t>
      </w:r>
      <w:r w:rsidR="00ED501C" w:rsidRPr="0089517D">
        <w:t xml:space="preserve"> de l’arrêt</w:t>
      </w:r>
      <w:r w:rsidRPr="0089517D">
        <w:t xml:space="preserve">, avec les frais de justice. </w:t>
      </w:r>
    </w:p>
    <w:tbl>
      <w:tblPr>
        <w:tblW w:w="0" w:type="auto"/>
        <w:tblLayout w:type="fixed"/>
        <w:tblCellMar>
          <w:left w:w="0" w:type="dxa"/>
          <w:right w:w="0" w:type="dxa"/>
        </w:tblCellMar>
        <w:tblLook w:val="0000" w:firstRow="0" w:lastRow="0" w:firstColumn="0" w:lastColumn="0" w:noHBand="0" w:noVBand="0"/>
      </w:tblPr>
      <w:tblGrid>
        <w:gridCol w:w="4735"/>
        <w:gridCol w:w="4625"/>
      </w:tblGrid>
      <w:tr w:rsidR="003E05D3" w:rsidRPr="0089517D" w14:paraId="1E3CFB4F" w14:textId="77777777" w:rsidTr="00856AE5">
        <w:trPr>
          <w:cantSplit/>
          <w:trHeight w:val="513"/>
        </w:trPr>
        <w:tc>
          <w:tcPr>
            <w:tcW w:w="9360" w:type="dxa"/>
            <w:gridSpan w:val="2"/>
          </w:tcPr>
          <w:p w14:paraId="4942AEE9" w14:textId="77777777" w:rsidR="003E05D3" w:rsidRPr="0089517D" w:rsidRDefault="003E05D3" w:rsidP="00856AE5">
            <w:pPr>
              <w:spacing w:line="240" w:lineRule="auto"/>
            </w:pPr>
          </w:p>
        </w:tc>
      </w:tr>
      <w:tr w:rsidR="003E05D3" w:rsidRPr="0089517D" w14:paraId="798A7240" w14:textId="77777777" w:rsidTr="00856AE5">
        <w:trPr>
          <w:cantSplit/>
          <w:trHeight w:val="277"/>
        </w:trPr>
        <w:tc>
          <w:tcPr>
            <w:tcW w:w="4735" w:type="dxa"/>
            <w:vMerge w:val="restart"/>
          </w:tcPr>
          <w:p w14:paraId="2481D74C" w14:textId="77777777" w:rsidR="003E05D3" w:rsidRPr="0089517D" w:rsidRDefault="003E05D3" w:rsidP="00856AE5">
            <w:pPr>
              <w:spacing w:line="240" w:lineRule="auto"/>
            </w:pPr>
          </w:p>
        </w:tc>
        <w:tc>
          <w:tcPr>
            <w:tcW w:w="4625" w:type="dxa"/>
            <w:tcBorders>
              <w:bottom w:val="single" w:sz="8" w:space="0" w:color="auto"/>
            </w:tcBorders>
          </w:tcPr>
          <w:p w14:paraId="242D5108" w14:textId="77777777" w:rsidR="003E05D3" w:rsidRPr="0089517D" w:rsidRDefault="003E05D3" w:rsidP="00856AE5">
            <w:pPr>
              <w:spacing w:line="240" w:lineRule="auto"/>
            </w:pPr>
          </w:p>
        </w:tc>
      </w:tr>
      <w:tr w:rsidR="003E05D3" w:rsidRPr="00313611" w14:paraId="67A23FCB" w14:textId="77777777" w:rsidTr="00856AE5">
        <w:trPr>
          <w:cantSplit/>
          <w:trHeight w:val="276"/>
        </w:trPr>
        <w:tc>
          <w:tcPr>
            <w:tcW w:w="4735" w:type="dxa"/>
            <w:vMerge/>
          </w:tcPr>
          <w:p w14:paraId="4F4DF2FE" w14:textId="77777777" w:rsidR="003E05D3" w:rsidRPr="0089517D" w:rsidRDefault="003E05D3" w:rsidP="00856AE5">
            <w:pPr>
              <w:spacing w:line="240" w:lineRule="auto"/>
            </w:pPr>
          </w:p>
        </w:tc>
        <w:tc>
          <w:tcPr>
            <w:tcW w:w="4625" w:type="dxa"/>
          </w:tcPr>
          <w:p w14:paraId="7C6FC9EB" w14:textId="3470D5DD" w:rsidR="003E05D3" w:rsidRPr="0089517D" w:rsidRDefault="00801DC3" w:rsidP="00856AE5">
            <w:pPr>
              <w:spacing w:line="240" w:lineRule="auto"/>
              <w:rPr>
                <w:lang w:val="en-CA"/>
              </w:rPr>
            </w:pPr>
            <w:r>
              <w:t>JUDITH HARVIE, J.C.A.</w:t>
            </w:r>
          </w:p>
        </w:tc>
      </w:tr>
      <w:tr w:rsidR="003E05D3" w:rsidRPr="00313611" w14:paraId="1509132C" w14:textId="77777777" w:rsidTr="00856AE5">
        <w:trPr>
          <w:cantSplit/>
          <w:trHeight w:val="276"/>
        </w:trPr>
        <w:tc>
          <w:tcPr>
            <w:tcW w:w="4735" w:type="dxa"/>
          </w:tcPr>
          <w:p w14:paraId="7FCCDE59" w14:textId="77777777" w:rsidR="003E05D3" w:rsidRPr="0089517D" w:rsidRDefault="003E05D3" w:rsidP="00856AE5">
            <w:pPr>
              <w:spacing w:line="240" w:lineRule="auto"/>
              <w:rPr>
                <w:lang w:val="en-CA"/>
              </w:rPr>
            </w:pPr>
          </w:p>
        </w:tc>
        <w:tc>
          <w:tcPr>
            <w:tcW w:w="4625" w:type="dxa"/>
          </w:tcPr>
          <w:p w14:paraId="717AF4AA" w14:textId="77777777" w:rsidR="003E05D3" w:rsidRPr="0089517D" w:rsidRDefault="003E05D3" w:rsidP="00856AE5">
            <w:pPr>
              <w:spacing w:line="240" w:lineRule="auto"/>
              <w:rPr>
                <w:lang w:val="en-CA"/>
              </w:rPr>
            </w:pPr>
          </w:p>
        </w:tc>
      </w:tr>
    </w:tbl>
    <w:p w14:paraId="30BE2202" w14:textId="77777777" w:rsidR="004F44C4" w:rsidRPr="0089517D" w:rsidRDefault="004F44C4">
      <w:pPr>
        <w:spacing w:line="240" w:lineRule="auto"/>
        <w:rPr>
          <w:lang w:val="en-CA"/>
        </w:rPr>
      </w:pPr>
      <w:r w:rsidRPr="0089517D">
        <w:rPr>
          <w:lang w:val="en-CA"/>
        </w:rPr>
        <w:br w:type="page"/>
      </w:r>
    </w:p>
    <w:tbl>
      <w:tblPr>
        <w:tblW w:w="0" w:type="auto"/>
        <w:tblLayout w:type="fixed"/>
        <w:tblCellMar>
          <w:left w:w="0" w:type="dxa"/>
          <w:right w:w="0" w:type="dxa"/>
        </w:tblCellMar>
        <w:tblLook w:val="0000" w:firstRow="0" w:lastRow="0" w:firstColumn="0" w:lastColumn="0" w:noHBand="0" w:noVBand="0"/>
      </w:tblPr>
      <w:tblGrid>
        <w:gridCol w:w="9360"/>
      </w:tblGrid>
      <w:tr w:rsidR="002C58A4" w:rsidRPr="00313611" w14:paraId="2F60CAA9" w14:textId="77777777" w:rsidTr="00856AE5">
        <w:tc>
          <w:tcPr>
            <w:tcW w:w="9360" w:type="dxa"/>
            <w:tcBorders>
              <w:bottom w:val="single" w:sz="8" w:space="0" w:color="auto"/>
            </w:tcBorders>
          </w:tcPr>
          <w:p w14:paraId="511F0DC9" w14:textId="77777777" w:rsidR="002C58A4" w:rsidRPr="0089517D" w:rsidRDefault="002C58A4" w:rsidP="002C58A4">
            <w:pPr>
              <w:spacing w:line="240" w:lineRule="auto"/>
              <w:rPr>
                <w:lang w:val="en-CA"/>
              </w:rPr>
            </w:pPr>
            <w:r w:rsidRPr="0089517D">
              <w:rPr>
                <w:lang w:val="en-CA"/>
              </w:rPr>
              <w:lastRenderedPageBreak/>
              <w:br w:type="page"/>
            </w:r>
          </w:p>
        </w:tc>
      </w:tr>
      <w:tr w:rsidR="002C58A4" w:rsidRPr="00313611" w14:paraId="003E886C" w14:textId="77777777" w:rsidTr="00856AE5">
        <w:tc>
          <w:tcPr>
            <w:tcW w:w="9360" w:type="dxa"/>
            <w:tcBorders>
              <w:top w:val="single" w:sz="8" w:space="0" w:color="auto"/>
            </w:tcBorders>
          </w:tcPr>
          <w:p w14:paraId="2F4B8BCA" w14:textId="77777777" w:rsidR="002C58A4" w:rsidRPr="0089517D" w:rsidRDefault="002C58A4" w:rsidP="002C58A4">
            <w:pPr>
              <w:spacing w:line="240" w:lineRule="auto"/>
              <w:rPr>
                <w:lang w:val="en-CA"/>
              </w:rPr>
            </w:pPr>
          </w:p>
        </w:tc>
      </w:tr>
      <w:tr w:rsidR="002C58A4" w:rsidRPr="0089517D" w14:paraId="114B7E73" w14:textId="77777777" w:rsidTr="00856AE5">
        <w:tc>
          <w:tcPr>
            <w:tcW w:w="9360" w:type="dxa"/>
          </w:tcPr>
          <w:p w14:paraId="7A044802" w14:textId="2E19AA9C" w:rsidR="002C58A4" w:rsidRPr="0089517D" w:rsidRDefault="00801DC3" w:rsidP="002C58A4">
            <w:pPr>
              <w:spacing w:line="240" w:lineRule="auto"/>
              <w:jc w:val="center"/>
            </w:pPr>
            <w:r>
              <w:t>MOTIFS DU JUGE</w:t>
            </w:r>
            <w:r w:rsidR="002C58A4" w:rsidRPr="0089517D">
              <w:t xml:space="preserve"> </w:t>
            </w:r>
            <w:r>
              <w:t>SCHRAGER</w:t>
            </w:r>
          </w:p>
        </w:tc>
      </w:tr>
      <w:tr w:rsidR="002C58A4" w:rsidRPr="0089517D" w14:paraId="3A0F8106" w14:textId="77777777" w:rsidTr="00856AE5">
        <w:tc>
          <w:tcPr>
            <w:tcW w:w="9360" w:type="dxa"/>
            <w:tcBorders>
              <w:bottom w:val="single" w:sz="8" w:space="0" w:color="auto"/>
            </w:tcBorders>
          </w:tcPr>
          <w:p w14:paraId="183EBE19" w14:textId="77777777" w:rsidR="002C58A4" w:rsidRPr="0089517D" w:rsidRDefault="002C58A4" w:rsidP="002C58A4">
            <w:pPr>
              <w:spacing w:line="240" w:lineRule="auto"/>
            </w:pPr>
          </w:p>
        </w:tc>
      </w:tr>
      <w:tr w:rsidR="002C58A4" w:rsidRPr="0089517D" w14:paraId="42C185CC" w14:textId="77777777" w:rsidTr="00856AE5">
        <w:tc>
          <w:tcPr>
            <w:tcW w:w="9360" w:type="dxa"/>
            <w:tcBorders>
              <w:top w:val="single" w:sz="8" w:space="0" w:color="auto"/>
            </w:tcBorders>
          </w:tcPr>
          <w:p w14:paraId="7FD5A901" w14:textId="77777777" w:rsidR="002C58A4" w:rsidRPr="0089517D" w:rsidRDefault="002C58A4" w:rsidP="002C58A4">
            <w:pPr>
              <w:spacing w:line="240" w:lineRule="auto"/>
            </w:pPr>
          </w:p>
        </w:tc>
      </w:tr>
    </w:tbl>
    <w:p w14:paraId="1536B575" w14:textId="03806A84" w:rsidR="002C58A4" w:rsidRPr="0089517D" w:rsidRDefault="002C58A4" w:rsidP="002C58A4">
      <w:pPr>
        <w:numPr>
          <w:ilvl w:val="0"/>
          <w:numId w:val="18"/>
        </w:numPr>
        <w:spacing w:before="120" w:after="120" w:line="240" w:lineRule="auto"/>
        <w:jc w:val="both"/>
        <w:rPr>
          <w:kern w:val="28"/>
        </w:rPr>
      </w:pPr>
      <w:r w:rsidRPr="0089517D">
        <w:rPr>
          <w:kern w:val="28"/>
        </w:rPr>
        <w:t>En mars 2023, la Ville de Montréal (« </w:t>
      </w:r>
      <w:r w:rsidRPr="0089517D">
        <w:rPr>
          <w:b/>
          <w:bCs/>
          <w:kern w:val="28"/>
        </w:rPr>
        <w:t>l’appelante </w:t>
      </w:r>
      <w:r w:rsidRPr="0089517D">
        <w:rPr>
          <w:kern w:val="28"/>
        </w:rPr>
        <w:t>» ou « </w:t>
      </w:r>
      <w:r w:rsidRPr="0089517D">
        <w:rPr>
          <w:b/>
          <w:bCs/>
          <w:kern w:val="28"/>
        </w:rPr>
        <w:t>la Ville</w:t>
      </w:r>
      <w:r w:rsidRPr="0089517D">
        <w:rPr>
          <w:kern w:val="28"/>
        </w:rPr>
        <w:t> ») lance un appel d’offres pour la construction d’un collecteur industriel à Montréal-Est. Elle reçoit trois offres. La première de Pomerleau</w:t>
      </w:r>
      <w:r w:rsidR="0089517D" w:rsidRPr="0089517D">
        <w:rPr>
          <w:kern w:val="28"/>
        </w:rPr>
        <w:t> </w:t>
      </w:r>
      <w:r w:rsidRPr="0089517D">
        <w:rPr>
          <w:kern w:val="28"/>
        </w:rPr>
        <w:t>(133 360 560 $), la deuxième de l’intimée</w:t>
      </w:r>
      <w:r w:rsidR="0089517D" w:rsidRPr="0089517D">
        <w:rPr>
          <w:kern w:val="28"/>
        </w:rPr>
        <w:t> </w:t>
      </w:r>
      <w:r w:rsidRPr="0089517D">
        <w:rPr>
          <w:kern w:val="28"/>
        </w:rPr>
        <w:t>(95 874 098 $) et une troisième de Construction Demathieu &amp; Bard inc. (« </w:t>
      </w:r>
      <w:r w:rsidRPr="0089517D">
        <w:rPr>
          <w:b/>
          <w:bCs/>
          <w:kern w:val="28"/>
        </w:rPr>
        <w:t>CDB</w:t>
      </w:r>
      <w:r w:rsidRPr="0089517D">
        <w:rPr>
          <w:kern w:val="28"/>
        </w:rPr>
        <w:t> ») qui est rejetée pour cause de non-conformité. À la suite des protestations de CDB, l’appel d’offres est annulé.</w:t>
      </w:r>
    </w:p>
    <w:p w14:paraId="6EDC14E1" w14:textId="77777777" w:rsidR="002C58A4" w:rsidRPr="0089517D" w:rsidRDefault="002C58A4" w:rsidP="002C58A4">
      <w:pPr>
        <w:numPr>
          <w:ilvl w:val="0"/>
          <w:numId w:val="18"/>
        </w:numPr>
        <w:spacing w:before="120" w:after="120" w:line="240" w:lineRule="auto"/>
        <w:jc w:val="both"/>
        <w:rPr>
          <w:kern w:val="28"/>
        </w:rPr>
      </w:pPr>
      <w:r w:rsidRPr="0089517D">
        <w:rPr>
          <w:kern w:val="28"/>
        </w:rPr>
        <w:t>L’intimée, qui avait offert le plus bas prix, actionne la Ville en dommages-intérêts pour son profit non réalisé. Elle demande le caviardage du montant de la condamnation recherchée</w:t>
      </w:r>
      <w:r w:rsidRPr="0089517D">
        <w:rPr>
          <w:kern w:val="28"/>
          <w:vertAlign w:val="superscript"/>
        </w:rPr>
        <w:footnoteReference w:id="60"/>
      </w:r>
      <w:r w:rsidRPr="0089517D">
        <w:rPr>
          <w:kern w:val="28"/>
        </w:rPr>
        <w:t xml:space="preserve"> pour protéger des intérêts légitimes importants, soit la préservation d’informations confidentielles de nature commerciale et l’équité entre les soumissionnaires.</w:t>
      </w:r>
    </w:p>
    <w:p w14:paraId="0C19F19B" w14:textId="78A193C6" w:rsidR="002C58A4" w:rsidRPr="0089517D" w:rsidRDefault="002C58A4" w:rsidP="002C58A4">
      <w:pPr>
        <w:numPr>
          <w:ilvl w:val="0"/>
          <w:numId w:val="18"/>
        </w:numPr>
        <w:spacing w:before="120" w:after="120" w:line="240" w:lineRule="auto"/>
        <w:jc w:val="both"/>
        <w:rPr>
          <w:kern w:val="28"/>
        </w:rPr>
      </w:pPr>
      <w:r w:rsidRPr="0089517D">
        <w:rPr>
          <w:kern w:val="28"/>
        </w:rPr>
        <w:t>La juge Piché, j.c.s., lui donne raison</w:t>
      </w:r>
      <w:bookmarkStart w:id="19" w:name="_Ref224127274"/>
      <w:r w:rsidRPr="0089517D">
        <w:rPr>
          <w:kern w:val="28"/>
          <w:vertAlign w:val="superscript"/>
        </w:rPr>
        <w:footnoteReference w:id="61"/>
      </w:r>
      <w:bookmarkEnd w:id="19"/>
      <w:r w:rsidRPr="0089517D">
        <w:rPr>
          <w:kern w:val="28"/>
        </w:rPr>
        <w:t> :</w:t>
      </w:r>
    </w:p>
    <w:p w14:paraId="5A567025" w14:textId="74FC7E9A" w:rsidR="002C58A4" w:rsidRPr="0089517D" w:rsidRDefault="002C58A4" w:rsidP="002C58A4">
      <w:pPr>
        <w:spacing w:before="120" w:after="120" w:line="240" w:lineRule="auto"/>
        <w:ind w:left="720" w:right="720"/>
        <w:jc w:val="both"/>
        <w:rPr>
          <w:kern w:val="24"/>
          <w:sz w:val="22"/>
        </w:rPr>
      </w:pPr>
      <w:r w:rsidRPr="0089517D">
        <w:rPr>
          <w:kern w:val="24"/>
          <w:sz w:val="22"/>
        </w:rPr>
        <w:t>[25]</w:t>
      </w:r>
      <w:r w:rsidRPr="0089517D">
        <w:rPr>
          <w:kern w:val="24"/>
          <w:sz w:val="22"/>
        </w:rPr>
        <w:tab/>
        <w:t xml:space="preserve">En l’espèce, il est fort probable que la Ville lance un nouvel appel d’offres dans un futur rapproché pour la construction de la Phase 3 du Collecteur industriel Montréal-Est. </w:t>
      </w:r>
    </w:p>
    <w:p w14:paraId="4119150E" w14:textId="4E2A4929" w:rsidR="002C58A4" w:rsidRPr="0089517D" w:rsidRDefault="002C58A4" w:rsidP="002C58A4">
      <w:pPr>
        <w:spacing w:before="120" w:after="120" w:line="240" w:lineRule="auto"/>
        <w:ind w:left="720" w:right="720"/>
        <w:jc w:val="both"/>
        <w:rPr>
          <w:kern w:val="24"/>
          <w:sz w:val="22"/>
        </w:rPr>
      </w:pPr>
      <w:r w:rsidRPr="0089517D">
        <w:rPr>
          <w:kern w:val="24"/>
          <w:sz w:val="22"/>
        </w:rPr>
        <w:t>[26]</w:t>
      </w:r>
      <w:r w:rsidRPr="0089517D">
        <w:rPr>
          <w:kern w:val="24"/>
          <w:sz w:val="22"/>
        </w:rPr>
        <w:tab/>
        <w:t xml:space="preserve">Dans ce contexte, il est préjudiciable, pour EBC et pour le public, que des concurrents puissent avoir accès à l’information concernant la perte de profits non-réclamés de EBC à l’occasion du précédent appel d’offres annulé. En effet, ceux-ci pourront alors déterminer le prix coûtant de la soumission d’EBC. Le marché pourra être renseigné sur la manière de concevoir ce prix. L’intégrité du processus d’appel d’offres pourra alors être fragilisée, de telle sorte à préjudicier la Ville et le public. </w:t>
      </w:r>
    </w:p>
    <w:p w14:paraId="7A499D36" w14:textId="042FA57A" w:rsidR="002C58A4" w:rsidRPr="0089517D" w:rsidRDefault="002C58A4" w:rsidP="002C58A4">
      <w:pPr>
        <w:spacing w:before="120" w:after="120" w:line="240" w:lineRule="auto"/>
        <w:ind w:left="720" w:right="720"/>
        <w:jc w:val="both"/>
        <w:rPr>
          <w:kern w:val="24"/>
          <w:sz w:val="22"/>
        </w:rPr>
      </w:pPr>
      <w:r w:rsidRPr="0089517D">
        <w:rPr>
          <w:kern w:val="24"/>
          <w:sz w:val="22"/>
        </w:rPr>
        <w:t>[27]</w:t>
      </w:r>
      <w:r w:rsidRPr="0089517D">
        <w:rPr>
          <w:kern w:val="24"/>
          <w:sz w:val="22"/>
        </w:rPr>
        <w:tab/>
        <w:t>Ce risque est réel et important et menace sérieusement l’intérêt commercial d’EBC.</w:t>
      </w:r>
    </w:p>
    <w:p w14:paraId="75212CBB" w14:textId="77777777" w:rsidR="002C58A4" w:rsidRPr="0089517D" w:rsidRDefault="002C58A4" w:rsidP="002C58A4">
      <w:pPr>
        <w:numPr>
          <w:ilvl w:val="0"/>
          <w:numId w:val="18"/>
        </w:numPr>
        <w:spacing w:before="120" w:after="120" w:line="240" w:lineRule="auto"/>
        <w:jc w:val="both"/>
        <w:rPr>
          <w:kern w:val="28"/>
        </w:rPr>
      </w:pPr>
      <w:r w:rsidRPr="0089517D">
        <w:rPr>
          <w:kern w:val="28"/>
        </w:rPr>
        <w:t>L’ordonnance qu’elle rend est en vigueur jusqu’au premier des deux événements suivants, soit : i) un jugement au fond dans l’instance scindée sur la responsabilité de l’appelante ou ii) l’octroi du contrat dans le cadre d’un nouvel appel d’offres. Le chiffre des dommages-intérêts réclamés est livré sous pli scellé aux avocats de la Ville et assujetti à une « obligation implicite de confidentialité »</w:t>
      </w:r>
      <w:r w:rsidRPr="0089517D">
        <w:rPr>
          <w:kern w:val="28"/>
          <w:vertAlign w:val="superscript"/>
        </w:rPr>
        <w:footnoteReference w:id="62"/>
      </w:r>
      <w:r w:rsidRPr="0089517D">
        <w:rPr>
          <w:kern w:val="28"/>
        </w:rPr>
        <w:t>.</w:t>
      </w:r>
    </w:p>
    <w:p w14:paraId="14BDF58D" w14:textId="77777777" w:rsidR="002C58A4" w:rsidRPr="0089517D" w:rsidRDefault="002C58A4" w:rsidP="002C58A4">
      <w:pPr>
        <w:numPr>
          <w:ilvl w:val="0"/>
          <w:numId w:val="18"/>
        </w:numPr>
        <w:spacing w:before="120" w:after="120" w:line="240" w:lineRule="auto"/>
        <w:jc w:val="both"/>
        <w:rPr>
          <w:kern w:val="28"/>
        </w:rPr>
      </w:pPr>
      <w:r w:rsidRPr="0089517D">
        <w:rPr>
          <w:kern w:val="28"/>
        </w:rPr>
        <w:lastRenderedPageBreak/>
        <w:t>En appel, la Ville conteste l’ordonnance de la juge Piché en faisant valoir, entre autres, qu’elle ne satisfait pas aux critères établis par la jurisprudence. Elle soutient qu’EBC ne démontre aucun intérêt public et qu’elle n’a pas introduit de preuve à cet effet en première instance</w:t>
      </w:r>
      <w:bookmarkStart w:id="20" w:name="_Ref223517215"/>
      <w:r w:rsidRPr="0089517D">
        <w:rPr>
          <w:kern w:val="28"/>
          <w:vertAlign w:val="superscript"/>
        </w:rPr>
        <w:footnoteReference w:id="63"/>
      </w:r>
      <w:bookmarkEnd w:id="20"/>
      <w:r w:rsidRPr="0089517D">
        <w:rPr>
          <w:kern w:val="28"/>
        </w:rPr>
        <w:t>.</w:t>
      </w:r>
    </w:p>
    <w:p w14:paraId="5681E030" w14:textId="1A729089" w:rsidR="002C58A4" w:rsidRPr="0089517D" w:rsidRDefault="002C58A4" w:rsidP="002C58A4">
      <w:pPr>
        <w:numPr>
          <w:ilvl w:val="0"/>
          <w:numId w:val="18"/>
        </w:numPr>
        <w:spacing w:before="120" w:after="120" w:line="240" w:lineRule="auto"/>
        <w:jc w:val="both"/>
        <w:rPr>
          <w:kern w:val="28"/>
        </w:rPr>
      </w:pPr>
      <w:r w:rsidRPr="0089517D">
        <w:rPr>
          <w:kern w:val="28"/>
        </w:rPr>
        <w:t>Avec égards, je ne suis pas d’accord avec les motifs de ma collègue</w:t>
      </w:r>
      <w:r w:rsidR="00E4052E">
        <w:rPr>
          <w:kern w:val="28"/>
        </w:rPr>
        <w:t>,</w:t>
      </w:r>
      <w:r w:rsidRPr="0089517D">
        <w:rPr>
          <w:kern w:val="28"/>
        </w:rPr>
        <w:t xml:space="preserve"> la juge Harvie. Je ne crois pas que le jugement de la Cour supérieure soit erroné, car la juge applique correctement les critères établis par la Cour suprême. En effet, il y a un risque pour un intérêt d’ordre public ou un intérêt légitime</w:t>
      </w:r>
      <w:r w:rsidRPr="0089517D">
        <w:rPr>
          <w:kern w:val="28"/>
          <w:vertAlign w:val="superscript"/>
        </w:rPr>
        <w:footnoteReference w:id="64"/>
      </w:r>
      <w:r w:rsidRPr="0089517D">
        <w:rPr>
          <w:kern w:val="28"/>
        </w:rPr>
        <w:t>, à savoir que l’intégrité du système d’appel d’offres public soit préjudiciée. Aussi, obliger l’intimée à divulguer la perte de profit a un effet dissuasif qui limite l’accès aux tribunaux, un autre intérêt d’ordre public qui doit être protégé. Le risque est sérieux et peut être protégé d’une manière proportionnelle par l’ordonnance de caviardage prononcée par la juge</w:t>
      </w:r>
      <w:r w:rsidRPr="0089517D">
        <w:rPr>
          <w:kern w:val="28"/>
          <w:vertAlign w:val="superscript"/>
        </w:rPr>
        <w:footnoteReference w:id="65"/>
      </w:r>
      <w:r w:rsidRPr="0089517D">
        <w:rPr>
          <w:kern w:val="28"/>
        </w:rPr>
        <w:t>. En l’espèce, l’ordonnance de caviardage est proportionnelle à l’intérêt de la publicité des débats judiciaires. Les principes sont reconnus. Leur application en l’espèce est centrale à mon opinion qui diverge de celle de ma collègue. La preuve que celle-ci semble exiger n’est pas nécessaire en l’espèce, à supposer qu’il soit possible d’administrer une preuve de</w:t>
      </w:r>
      <w:r w:rsidR="00E901AF" w:rsidRPr="0089517D">
        <w:rPr>
          <w:kern w:val="28"/>
        </w:rPr>
        <w:t xml:space="preserve"> </w:t>
      </w:r>
      <w:r w:rsidRPr="0089517D">
        <w:rPr>
          <w:kern w:val="28"/>
        </w:rPr>
        <w:t>« l’impact que pourrait avoir la divulgation (…) des profits ». Une telle preuve serait au mieux spéculative et certainement superflue dans les circonstances.</w:t>
      </w:r>
    </w:p>
    <w:p w14:paraId="4F827398" w14:textId="77777777" w:rsidR="002C58A4" w:rsidRPr="0089517D" w:rsidRDefault="002C58A4" w:rsidP="002C58A4">
      <w:pPr>
        <w:spacing w:before="120" w:after="120" w:line="240" w:lineRule="auto"/>
        <w:jc w:val="center"/>
        <w:rPr>
          <w:kern w:val="28"/>
        </w:rPr>
      </w:pPr>
      <w:r w:rsidRPr="0089517D">
        <w:rPr>
          <w:kern w:val="28"/>
        </w:rPr>
        <w:t>* * *</w:t>
      </w:r>
    </w:p>
    <w:p w14:paraId="5A99661C" w14:textId="77777777" w:rsidR="002C58A4" w:rsidRPr="0089517D" w:rsidRDefault="002C58A4" w:rsidP="002C58A4">
      <w:pPr>
        <w:numPr>
          <w:ilvl w:val="0"/>
          <w:numId w:val="18"/>
        </w:numPr>
        <w:spacing w:before="120" w:after="120" w:line="240" w:lineRule="auto"/>
        <w:jc w:val="both"/>
        <w:rPr>
          <w:kern w:val="28"/>
        </w:rPr>
      </w:pPr>
      <w:r w:rsidRPr="0089517D">
        <w:rPr>
          <w:kern w:val="28"/>
        </w:rPr>
        <w:t>Comme point central de ses motifs, ma collègue prétend que la constatation de la juge qu’il y aura un nouvel appel d’offres pour le projet n’est appuyée d’aucune preuve utile au dossier.</w:t>
      </w:r>
    </w:p>
    <w:p w14:paraId="49EF1C7C" w14:textId="77777777" w:rsidR="002C58A4" w:rsidRPr="0089517D" w:rsidRDefault="002C58A4" w:rsidP="002C58A4">
      <w:pPr>
        <w:numPr>
          <w:ilvl w:val="0"/>
          <w:numId w:val="18"/>
        </w:numPr>
        <w:spacing w:before="120" w:after="120" w:line="240" w:lineRule="auto"/>
        <w:jc w:val="both"/>
        <w:rPr>
          <w:kern w:val="28"/>
        </w:rPr>
      </w:pPr>
      <w:r w:rsidRPr="0089517D">
        <w:rPr>
          <w:kern w:val="28"/>
        </w:rPr>
        <w:t>Avec égards, je ne suis pas d’accord avec la prémisse de ma collègue. D’abord, il n’est pas déraisonnable de tenir pour acquis dans les circonstances qu’il y aura un nouvel appel d’offres. Il est évident que les dirigeants de la Ville considéraient que les travaux étaient nécessaires et ont investi des efforts et dépenses énormes pour faire préparer les plans, devis et documents pour pouvoir entamer la procédure d’appel d’offres de ce projet d’envergure. Alors, il est tout à fait raisonnable de conclure qu’il y aura un nouvel appel d’offres pour le projet en question.</w:t>
      </w:r>
    </w:p>
    <w:p w14:paraId="7524927E" w14:textId="77777777" w:rsidR="002C58A4" w:rsidRPr="0089517D" w:rsidRDefault="002C58A4" w:rsidP="002C58A4">
      <w:pPr>
        <w:numPr>
          <w:ilvl w:val="0"/>
          <w:numId w:val="18"/>
        </w:numPr>
        <w:spacing w:before="120" w:after="120" w:line="240" w:lineRule="auto"/>
        <w:jc w:val="both"/>
        <w:rPr>
          <w:kern w:val="28"/>
        </w:rPr>
      </w:pPr>
      <w:r w:rsidRPr="0089517D">
        <w:rPr>
          <w:kern w:val="28"/>
        </w:rPr>
        <w:t>Mais, il y a plus. La Ville a présenté une demande de scission de l’instance afin de reporter à une deuxième étape la quantification des dommages-intérêts réclamés par l’intimée (présumant que cette dernière aura gain de cause sur la première étape en établissant la responsabilité de la Ville). Cette demande a été entendue en même temps que la demande à la source du présent appel.</w:t>
      </w:r>
    </w:p>
    <w:p w14:paraId="1714D6A0" w14:textId="77777777" w:rsidR="002C58A4" w:rsidRPr="0089517D" w:rsidRDefault="002C58A4" w:rsidP="002C58A4">
      <w:pPr>
        <w:numPr>
          <w:ilvl w:val="0"/>
          <w:numId w:val="18"/>
        </w:numPr>
        <w:spacing w:before="120" w:after="120" w:line="240" w:lineRule="auto"/>
        <w:jc w:val="both"/>
        <w:rPr>
          <w:kern w:val="28"/>
        </w:rPr>
      </w:pPr>
      <w:r w:rsidRPr="0089517D">
        <w:rPr>
          <w:kern w:val="28"/>
        </w:rPr>
        <w:lastRenderedPageBreak/>
        <w:t>Dans sa demande de scission de l’instance, appuyée de la déclaration solennelle de l’un de ses avocats, l’appelante dit ceci :</w:t>
      </w:r>
    </w:p>
    <w:p w14:paraId="157A6C81" w14:textId="77777777" w:rsidR="002C58A4" w:rsidRPr="0089517D" w:rsidRDefault="002C58A4" w:rsidP="002C58A4">
      <w:pPr>
        <w:spacing w:before="120" w:after="120" w:line="240" w:lineRule="auto"/>
        <w:ind w:left="720" w:right="720"/>
        <w:jc w:val="both"/>
        <w:rPr>
          <w:kern w:val="24"/>
          <w:sz w:val="22"/>
        </w:rPr>
      </w:pPr>
      <w:r w:rsidRPr="0089517D">
        <w:rPr>
          <w:kern w:val="24"/>
          <w:sz w:val="22"/>
        </w:rPr>
        <w:t xml:space="preserve">12.  </w:t>
      </w:r>
      <w:r w:rsidRPr="0089517D">
        <w:rPr>
          <w:kern w:val="24"/>
          <w:sz w:val="22"/>
        </w:rPr>
        <w:tab/>
        <w:t>Les travaux visés par l’appel d’offres public no CP22015-174514-C consistent essentiellement en la construction d’un nouveau tronçon visant à assurer un lien entre deux premières phases déjà construites, afin de permettre la mise en service complète du collecteur industriel et assurer la desserte adéquate de l’ensemble de son bassin de drainage d’une superficie 700 hectares;</w:t>
      </w:r>
    </w:p>
    <w:p w14:paraId="14A14311" w14:textId="77777777" w:rsidR="002C58A4" w:rsidRPr="0089517D" w:rsidRDefault="002C58A4" w:rsidP="002C58A4">
      <w:pPr>
        <w:spacing w:before="120" w:after="120" w:line="240" w:lineRule="auto"/>
        <w:ind w:left="720" w:right="720"/>
        <w:jc w:val="both"/>
        <w:rPr>
          <w:kern w:val="24"/>
          <w:sz w:val="22"/>
          <w:u w:val="single"/>
        </w:rPr>
      </w:pPr>
      <w:r w:rsidRPr="0089517D">
        <w:rPr>
          <w:kern w:val="24"/>
          <w:sz w:val="22"/>
        </w:rPr>
        <w:t xml:space="preserve">13.  </w:t>
      </w:r>
      <w:r w:rsidRPr="0089517D">
        <w:rPr>
          <w:kern w:val="24"/>
          <w:sz w:val="22"/>
        </w:rPr>
        <w:tab/>
      </w:r>
      <w:r w:rsidRPr="0089517D">
        <w:rPr>
          <w:kern w:val="24"/>
          <w:sz w:val="22"/>
          <w:u w:val="single"/>
        </w:rPr>
        <w:t>Bien qu’aucune date ne soit encore fixée pour le lancement d’un nouvel appel d’offres public, la construction de la phase 3 du collecteur industriel dans la ville de Montréal-Est est toujours requise et devra faire l’objet d’un éventuel appel d’offres public par la Ville de Montréal;</w:t>
      </w:r>
    </w:p>
    <w:p w14:paraId="0996B17B" w14:textId="77777777" w:rsidR="002C58A4" w:rsidRPr="0089517D" w:rsidRDefault="002C58A4" w:rsidP="002C58A4">
      <w:pPr>
        <w:spacing w:before="120" w:after="120" w:line="240" w:lineRule="auto"/>
        <w:ind w:left="720" w:right="720"/>
        <w:jc w:val="both"/>
        <w:rPr>
          <w:kern w:val="24"/>
          <w:sz w:val="22"/>
        </w:rPr>
      </w:pPr>
      <w:r w:rsidRPr="0089517D">
        <w:rPr>
          <w:kern w:val="24"/>
          <w:sz w:val="22"/>
        </w:rPr>
        <w:t xml:space="preserve">14.  </w:t>
      </w:r>
      <w:r w:rsidRPr="0089517D">
        <w:rPr>
          <w:kern w:val="24"/>
          <w:sz w:val="22"/>
        </w:rPr>
        <w:tab/>
        <w:t>Or, en l’absence d’une scission d’instance, la question des dommages réclamés par EBC entrainera nécessairement la communication d’informations sensibles et confidentielles de la part d’EBC à la Ville, quant aux aspects comptables et techniques de la soumission qu’EBC a déposée dans le cadre de l’appel d’offres no CP22015-174514-C;</w:t>
      </w:r>
    </w:p>
    <w:p w14:paraId="7523680A" w14:textId="77777777" w:rsidR="002C58A4" w:rsidRPr="0089517D" w:rsidRDefault="002C58A4" w:rsidP="002C58A4">
      <w:pPr>
        <w:spacing w:before="120" w:after="120" w:line="240" w:lineRule="auto"/>
        <w:ind w:left="720" w:right="720"/>
        <w:jc w:val="both"/>
        <w:rPr>
          <w:kern w:val="24"/>
          <w:sz w:val="22"/>
        </w:rPr>
      </w:pPr>
      <w:r w:rsidRPr="0089517D">
        <w:rPr>
          <w:kern w:val="24"/>
          <w:sz w:val="22"/>
        </w:rPr>
        <w:t xml:space="preserve">15.  </w:t>
      </w:r>
      <w:r w:rsidRPr="0089517D">
        <w:rPr>
          <w:kern w:val="24"/>
          <w:sz w:val="22"/>
        </w:rPr>
        <w:tab/>
        <w:t xml:space="preserve">Ces communications seront nécessaires pour respecter le droit à une défense pleine et entière de la Ville, </w:t>
      </w:r>
      <w:r w:rsidRPr="0089517D">
        <w:rPr>
          <w:kern w:val="24"/>
          <w:sz w:val="22"/>
          <w:u w:val="single"/>
        </w:rPr>
        <w:t>mais comporteront un risque très élevé que l’intégrité d’un nouvel d’appel [</w:t>
      </w:r>
      <w:r w:rsidRPr="0089517D">
        <w:rPr>
          <w:i/>
          <w:iCs/>
          <w:kern w:val="24"/>
          <w:sz w:val="22"/>
          <w:u w:val="single"/>
        </w:rPr>
        <w:t>sic</w:t>
      </w:r>
      <w:r w:rsidRPr="0089517D">
        <w:rPr>
          <w:kern w:val="24"/>
          <w:sz w:val="22"/>
          <w:u w:val="single"/>
        </w:rPr>
        <w:t>] d’offres soit entachée, ces communications pouvant mettre en échec le principe de l’égalité des soumissionnaires</w:t>
      </w:r>
      <w:r w:rsidRPr="0089517D">
        <w:rPr>
          <w:kern w:val="24"/>
          <w:sz w:val="22"/>
        </w:rPr>
        <w:t>.</w:t>
      </w:r>
    </w:p>
    <w:p w14:paraId="6A5B35DA" w14:textId="77777777" w:rsidR="002C58A4" w:rsidRPr="0089517D" w:rsidRDefault="002C58A4" w:rsidP="002C58A4">
      <w:pPr>
        <w:spacing w:before="120" w:after="120" w:line="240" w:lineRule="auto"/>
        <w:ind w:left="720" w:right="720"/>
        <w:jc w:val="right"/>
        <w:rPr>
          <w:kern w:val="24"/>
          <w:sz w:val="22"/>
        </w:rPr>
      </w:pPr>
      <w:r w:rsidRPr="0089517D">
        <w:rPr>
          <w:kern w:val="24"/>
          <w:sz w:val="22"/>
        </w:rPr>
        <w:t>[Soulignements ajoutés]</w:t>
      </w:r>
    </w:p>
    <w:p w14:paraId="482DCD87" w14:textId="77777777" w:rsidR="002C58A4" w:rsidRPr="0089517D" w:rsidRDefault="002C58A4" w:rsidP="002C58A4">
      <w:pPr>
        <w:numPr>
          <w:ilvl w:val="0"/>
          <w:numId w:val="18"/>
        </w:numPr>
        <w:spacing w:before="120" w:after="120" w:line="240" w:lineRule="auto"/>
        <w:jc w:val="both"/>
        <w:rPr>
          <w:kern w:val="28"/>
        </w:rPr>
      </w:pPr>
      <w:r w:rsidRPr="0089517D">
        <w:rPr>
          <w:kern w:val="28"/>
        </w:rPr>
        <w:t>En conséquence, il y a une preuve claire et non contredite émanant de l’appelante elle-même que les travaux sont requis et qu’il y aura un nouvel appel d’offres. L’appelante en contrôle l’échéancier. Même s’il est possible que les plans ou devis soient modifiés, il s’agira alors d’un nouvel appel d’offres pour le même projet et donc les mêmes données s’appliqueront substantiellement. Aucune autre preuve à cet égard ne pourrait être exigée raisonnablement.</w:t>
      </w:r>
    </w:p>
    <w:p w14:paraId="20328C03" w14:textId="77777777" w:rsidR="002C58A4" w:rsidRPr="0089517D" w:rsidRDefault="002C58A4" w:rsidP="002C58A4">
      <w:pPr>
        <w:spacing w:before="120" w:after="120" w:line="240" w:lineRule="auto"/>
        <w:jc w:val="center"/>
        <w:rPr>
          <w:kern w:val="28"/>
        </w:rPr>
      </w:pPr>
      <w:r w:rsidRPr="0089517D">
        <w:rPr>
          <w:kern w:val="28"/>
        </w:rPr>
        <w:t>* * *</w:t>
      </w:r>
    </w:p>
    <w:p w14:paraId="4E320C02" w14:textId="77777777" w:rsidR="002C58A4" w:rsidRPr="0089517D" w:rsidRDefault="002C58A4" w:rsidP="002C58A4">
      <w:pPr>
        <w:numPr>
          <w:ilvl w:val="0"/>
          <w:numId w:val="18"/>
        </w:numPr>
        <w:spacing w:before="120" w:after="120" w:line="240" w:lineRule="auto"/>
        <w:jc w:val="both"/>
        <w:rPr>
          <w:kern w:val="28"/>
        </w:rPr>
      </w:pPr>
      <w:r w:rsidRPr="0089517D">
        <w:rPr>
          <w:kern w:val="28"/>
        </w:rPr>
        <w:t xml:space="preserve">Un des intérêts importants à protéger ici pour satisfaire aux critères établis par la Cour suprême dans </w:t>
      </w:r>
      <w:r w:rsidRPr="0089517D">
        <w:rPr>
          <w:i/>
          <w:iCs/>
          <w:kern w:val="28"/>
        </w:rPr>
        <w:t>Sierra Club</w:t>
      </w:r>
      <w:r w:rsidRPr="0089517D">
        <w:rPr>
          <w:kern w:val="28"/>
        </w:rPr>
        <w:t xml:space="preserve"> et </w:t>
      </w:r>
      <w:r w:rsidRPr="0089517D">
        <w:rPr>
          <w:i/>
          <w:iCs/>
          <w:kern w:val="28"/>
        </w:rPr>
        <w:t>Sherman</w:t>
      </w:r>
      <w:r w:rsidRPr="0089517D">
        <w:rPr>
          <w:kern w:val="28"/>
        </w:rPr>
        <w:t xml:space="preserve"> est l’intérêt public à protéger l’intégrité du processus d’appel d’offres et d’octroi des contrats publics. Cet intérêt est constaté dans la législation québécoise</w:t>
      </w:r>
      <w:bookmarkStart w:id="21" w:name="_Ref224551736"/>
      <w:r w:rsidRPr="0089517D">
        <w:rPr>
          <w:kern w:val="28"/>
        </w:rPr>
        <w:t xml:space="preserve"> et reconnu dans la jurisprudence</w:t>
      </w:r>
      <w:r w:rsidRPr="0089517D">
        <w:rPr>
          <w:kern w:val="28"/>
          <w:vertAlign w:val="superscript"/>
        </w:rPr>
        <w:footnoteReference w:id="66"/>
      </w:r>
      <w:bookmarkEnd w:id="21"/>
      <w:r w:rsidRPr="0089517D">
        <w:rPr>
          <w:kern w:val="28"/>
        </w:rPr>
        <w:t>. Il n’est d’ailleurs pas l’objet d’une contestation, en l’espèce.</w:t>
      </w:r>
    </w:p>
    <w:p w14:paraId="7103760D" w14:textId="77777777" w:rsidR="002C58A4" w:rsidRPr="0089517D" w:rsidRDefault="002C58A4" w:rsidP="002C58A4">
      <w:pPr>
        <w:numPr>
          <w:ilvl w:val="0"/>
          <w:numId w:val="18"/>
        </w:numPr>
        <w:spacing w:before="120" w:after="120" w:line="240" w:lineRule="auto"/>
        <w:jc w:val="both"/>
        <w:rPr>
          <w:kern w:val="28"/>
        </w:rPr>
      </w:pPr>
      <w:r w:rsidRPr="0089517D">
        <w:rPr>
          <w:kern w:val="28"/>
        </w:rPr>
        <w:lastRenderedPageBreak/>
        <w:t xml:space="preserve">De plus, la compétence de la juge de rendre des ordonnances de la nature du jugement entrepris est acquise dans les pouvoirs de la Cour supérieure et constatée à l’article 12 </w:t>
      </w:r>
      <w:r w:rsidRPr="0089517D">
        <w:rPr>
          <w:i/>
          <w:iCs/>
          <w:kern w:val="28"/>
        </w:rPr>
        <w:t>C.p.c.</w:t>
      </w:r>
      <w:r w:rsidRPr="0089517D">
        <w:rPr>
          <w:kern w:val="28"/>
        </w:rPr>
        <w:t xml:space="preserve"> et si nécessaire, la compétence peut être fondée sur l’article 49 </w:t>
      </w:r>
      <w:r w:rsidRPr="0089517D">
        <w:rPr>
          <w:i/>
          <w:iCs/>
          <w:kern w:val="28"/>
        </w:rPr>
        <w:t>C.p.c.</w:t>
      </w:r>
      <w:r w:rsidRPr="0089517D">
        <w:rPr>
          <w:kern w:val="28"/>
        </w:rPr>
        <w:t xml:space="preserve"> </w:t>
      </w:r>
    </w:p>
    <w:p w14:paraId="2CD4BBF2" w14:textId="77777777" w:rsidR="002C58A4" w:rsidRPr="0089517D" w:rsidRDefault="002C58A4" w:rsidP="002C58A4">
      <w:pPr>
        <w:numPr>
          <w:ilvl w:val="0"/>
          <w:numId w:val="18"/>
        </w:numPr>
        <w:spacing w:before="120" w:after="120" w:line="240" w:lineRule="auto"/>
        <w:jc w:val="both"/>
        <w:rPr>
          <w:kern w:val="28"/>
        </w:rPr>
      </w:pPr>
      <w:r w:rsidRPr="0089517D">
        <w:rPr>
          <w:kern w:val="28"/>
        </w:rPr>
        <w:t xml:space="preserve">En quoi cet intérêt à protéger l’intégrité du processus d’appel d’offres et d’octroi des contrats publics serait-il lésé par la divulgation publique de la partie de l’offre de l’intimée correspondant à son profit (ce qui suppose nécessairement que la partie correspondant au coût serait également divulguée)? </w:t>
      </w:r>
    </w:p>
    <w:p w14:paraId="783B0A0D" w14:textId="77777777" w:rsidR="002C58A4" w:rsidRPr="0089517D" w:rsidRDefault="002C58A4" w:rsidP="002C58A4">
      <w:pPr>
        <w:numPr>
          <w:ilvl w:val="0"/>
          <w:numId w:val="18"/>
        </w:numPr>
        <w:spacing w:before="120" w:after="120" w:line="240" w:lineRule="auto"/>
        <w:jc w:val="both"/>
        <w:rPr>
          <w:kern w:val="28"/>
        </w:rPr>
      </w:pPr>
      <w:r w:rsidRPr="0089517D">
        <w:rPr>
          <w:kern w:val="28"/>
        </w:rPr>
        <w:t>Je suis d’avis que l’intérêt serait lésé, et que l’ordonnance était en conséquence justifiée, parce que les soumissionnaires concurrents dans l’éventuel appel d’offres disposeront d’informations pertinentes que l’intimée n’a pas les concernant. La Cour d’appel de Nouvelle-Écosse devant des circonstances similaires était de la même opinion</w:t>
      </w:r>
      <w:r w:rsidRPr="0089517D">
        <w:rPr>
          <w:kern w:val="28"/>
          <w:vertAlign w:val="superscript"/>
        </w:rPr>
        <w:footnoteReference w:id="67"/>
      </w:r>
      <w:r w:rsidRPr="0089517D">
        <w:rPr>
          <w:kern w:val="28"/>
        </w:rPr>
        <w:t>. Surtout, l’intérêt public favorise la concurrence loyale</w:t>
      </w:r>
      <w:r w:rsidRPr="0089517D">
        <w:rPr>
          <w:kern w:val="28"/>
          <w:vertAlign w:val="superscript"/>
        </w:rPr>
        <w:footnoteReference w:id="68"/>
      </w:r>
      <w:r w:rsidRPr="0089517D">
        <w:rPr>
          <w:kern w:val="28"/>
        </w:rPr>
        <w:t>.</w:t>
      </w:r>
    </w:p>
    <w:p w14:paraId="0BFD9E72" w14:textId="77777777" w:rsidR="002C58A4" w:rsidRPr="0089517D" w:rsidRDefault="002C58A4" w:rsidP="002C58A4">
      <w:pPr>
        <w:numPr>
          <w:ilvl w:val="0"/>
          <w:numId w:val="18"/>
        </w:numPr>
        <w:spacing w:before="120" w:after="120" w:line="240" w:lineRule="auto"/>
        <w:jc w:val="both"/>
        <w:rPr>
          <w:kern w:val="28"/>
        </w:rPr>
      </w:pPr>
      <w:r w:rsidRPr="0089517D">
        <w:rPr>
          <w:kern w:val="28"/>
        </w:rPr>
        <w:t>L’iniquité des règles du jeu mine l’intégrité du système d’appel d’offres. Les citoyens ou les entreprises de construction ne devraient pas hésiter à soumissionner parce qu’ils craignent que le processus les oblige éventuellement à divulguer des informations commerciales sensibles qui ne sont pas requises par la loi ou parce qu’ils perçoivent autrement ce processus comme étant non équitable.</w:t>
      </w:r>
    </w:p>
    <w:p w14:paraId="1BB4297F" w14:textId="77777777" w:rsidR="002C58A4" w:rsidRPr="0089517D" w:rsidRDefault="002C58A4" w:rsidP="002C58A4">
      <w:pPr>
        <w:numPr>
          <w:ilvl w:val="0"/>
          <w:numId w:val="18"/>
        </w:numPr>
        <w:spacing w:before="120" w:after="120" w:line="240" w:lineRule="auto"/>
        <w:jc w:val="both"/>
        <w:rPr>
          <w:kern w:val="28"/>
        </w:rPr>
      </w:pPr>
      <w:r w:rsidRPr="0089517D">
        <w:rPr>
          <w:kern w:val="28"/>
        </w:rPr>
        <w:t>Plus précisément, la divulgation du montant du profit et donc de la marge de profit permet aux soumissionnaires concurrents de s’adapter en conséquence. Par exemple, si l’intimée a travaillé sur la base d’un bénéfice de 15 à 20 % du coût et qu’elle a néanmoins été la soumissionnaire la plus basse, les concurrents sont invités à revoir la structure des coûts de leurs offres. En revanche, si l’intimée a travaillé sur la base d’un bénéfice de 5 %, les concurrents savent alors que l’intimée ne dispose pas d’une grande marge de manœuvre pour baisser davantage son prix, ce qui leur permet d’élaborer leur stratégie d’enchères en conséquence.</w:t>
      </w:r>
    </w:p>
    <w:p w14:paraId="69A8BBCF" w14:textId="77777777" w:rsidR="002C58A4" w:rsidRPr="0089517D" w:rsidRDefault="002C58A4" w:rsidP="002C58A4">
      <w:pPr>
        <w:numPr>
          <w:ilvl w:val="0"/>
          <w:numId w:val="18"/>
        </w:numPr>
        <w:spacing w:before="120" w:after="120" w:line="240" w:lineRule="auto"/>
        <w:jc w:val="both"/>
        <w:rPr>
          <w:kern w:val="28"/>
        </w:rPr>
      </w:pPr>
      <w:r w:rsidRPr="0089517D">
        <w:rPr>
          <w:kern w:val="28"/>
        </w:rPr>
        <w:t xml:space="preserve">En résumé, la preuve versée au dossier démontrant, dans la mesure où cela est nécessaire, qu’un nouvel appel d’offres aura lieu est plus que suffisante. Le fait que nous ne connaissons ni les conditions d’un tel appel d’offres ni la structure des coûts d’une future soumission n’est pas déterminant. Exiger la preuve des conditions futures imposerait à l’intimée un fardeau impossible à satisfaire et injuste. Spéculer que les conditions changeront ne constitue pas une preuve qu’elles changeront vraiment. De plus, toute augmentation des coûts de construction sur le marché au fil du temps affecterait de manière égale tous les soumissionnaires potentiels. De toute façon, on ne </w:t>
      </w:r>
      <w:r w:rsidRPr="0089517D">
        <w:rPr>
          <w:kern w:val="28"/>
        </w:rPr>
        <w:lastRenderedPageBreak/>
        <w:t>peut pas présumer que les conditions d’un futur appel d’offres changeront la marge du profit recherché par l’intimée (ou les autres offrants).</w:t>
      </w:r>
    </w:p>
    <w:p w14:paraId="0939E9C4" w14:textId="77777777" w:rsidR="002C58A4" w:rsidRPr="0089517D" w:rsidRDefault="002C58A4" w:rsidP="002C58A4">
      <w:pPr>
        <w:numPr>
          <w:ilvl w:val="0"/>
          <w:numId w:val="18"/>
        </w:numPr>
        <w:spacing w:before="120" w:after="120" w:line="240" w:lineRule="auto"/>
        <w:jc w:val="both"/>
        <w:rPr>
          <w:kern w:val="28"/>
        </w:rPr>
      </w:pPr>
      <w:r w:rsidRPr="0089517D">
        <w:rPr>
          <w:kern w:val="28"/>
        </w:rPr>
        <w:t>J’ajouterais que l’intégrité du processus d’appel d’offres public dans cette affaire protège non seulement le soumissionnaire et le public (qui bénéficient d’une tarification équitable), mais aussi l’appelante elle-même (ce à quoi celle-ci fait allusion au paragraphe 15 de sa demande de scission de l’instance, citée ci-dessus). Lorsqu’un autre appel d’offres aura lieu, si l’intimée n’obtient pas le contrat après avoir divulgué sa marge bénéficiaire, il est possible qu’elle conteste et cherche à faire annuler le nouveau processus en raison de cette divulgation. Il est dans l’intérêt public que le projet soit réalisé à un prix compétitif et dans des délais raisonnables. Ouvrir la porte à des litiges sur l’équité du processus ne permet pas d’atteindre ces objectifs et doit donc être évité, dans l’intérêt public. Une fois encore, ces travaux sont nécessaires et tout obstacle à la bonne conclusion du processus d’appel d’offres visant à attribuer un contrat pour ces travaux est contraire à l’intérêt public.</w:t>
      </w:r>
    </w:p>
    <w:p w14:paraId="0DC9B775" w14:textId="77777777" w:rsidR="002C58A4" w:rsidRPr="0089517D" w:rsidRDefault="002C58A4" w:rsidP="002C58A4">
      <w:pPr>
        <w:numPr>
          <w:ilvl w:val="0"/>
          <w:numId w:val="18"/>
        </w:numPr>
        <w:spacing w:before="120" w:after="120" w:line="240" w:lineRule="auto"/>
        <w:jc w:val="both"/>
        <w:rPr>
          <w:kern w:val="28"/>
        </w:rPr>
      </w:pPr>
      <w:r w:rsidRPr="0089517D">
        <w:rPr>
          <w:kern w:val="28"/>
        </w:rPr>
        <w:t>Le risque sérieux de préjudice à l’intégrité du système d’appel d’offres me semble évident et important. Je souligne que l’existence d’un risque qui s’appuie sur la preuve, sans qu’il s’agisse d’une preuve d’un préjudice actuel, suffit pour satisfaire aux critères établis par la jurisprudence. De toute manière, déterminer ce qu’est un intérêt public important peut se faire dans l’abstrait sur le plan des principes généraux</w:t>
      </w:r>
      <w:bookmarkStart w:id="22" w:name="_Ref224301786"/>
      <w:r w:rsidRPr="0089517D">
        <w:rPr>
          <w:kern w:val="28"/>
          <w:vertAlign w:val="superscript"/>
        </w:rPr>
        <w:footnoteReference w:id="69"/>
      </w:r>
      <w:bookmarkEnd w:id="22"/>
      <w:r w:rsidRPr="0089517D">
        <w:rPr>
          <w:kern w:val="28"/>
        </w:rPr>
        <w:t>.</w:t>
      </w:r>
    </w:p>
    <w:p w14:paraId="0E8FC046" w14:textId="067B059D" w:rsidR="002C58A4" w:rsidRPr="0089517D" w:rsidRDefault="002C58A4" w:rsidP="002C58A4">
      <w:pPr>
        <w:numPr>
          <w:ilvl w:val="0"/>
          <w:numId w:val="18"/>
        </w:numPr>
        <w:spacing w:before="120" w:after="120" w:line="240" w:lineRule="auto"/>
        <w:jc w:val="both"/>
        <w:rPr>
          <w:kern w:val="28"/>
        </w:rPr>
      </w:pPr>
      <w:r w:rsidRPr="0089517D">
        <w:rPr>
          <w:kern w:val="28"/>
        </w:rPr>
        <w:t>Notre Cour (bien que dans des circonstances factuelles différentes) a déjà indiqué que les demandes d’ordonnances de confidentialité présentées devant les tribunaux, comme celle dans la présente affaire, ne devraient pas exiger un niveau de preuve tel qu’elles créeraient des procès dans le procès</w:t>
      </w:r>
      <w:r w:rsidR="00E901AF" w:rsidRPr="0089517D">
        <w:rPr>
          <w:kern w:val="28"/>
        </w:rPr>
        <w:t> </w:t>
      </w:r>
      <w:r w:rsidRPr="0089517D">
        <w:rPr>
          <w:kern w:val="28"/>
        </w:rPr>
        <w:t>:</w:t>
      </w:r>
    </w:p>
    <w:p w14:paraId="3BCFFCD2" w14:textId="77777777" w:rsidR="002C58A4" w:rsidRPr="0089517D" w:rsidRDefault="002C58A4" w:rsidP="002C58A4">
      <w:pPr>
        <w:spacing w:before="120" w:after="120" w:line="240" w:lineRule="auto"/>
        <w:ind w:left="720" w:right="720"/>
        <w:jc w:val="both"/>
        <w:rPr>
          <w:kern w:val="24"/>
          <w:sz w:val="22"/>
        </w:rPr>
      </w:pPr>
      <w:r w:rsidRPr="0089517D">
        <w:rPr>
          <w:kern w:val="24"/>
          <w:sz w:val="22"/>
        </w:rPr>
        <w:t>(…) l’exigence d’une démonstration convaincante ne requiert pas une preuve formelle et probante à la suite d’un débat contradictoire.</w:t>
      </w:r>
      <w:r w:rsidRPr="0089517D">
        <w:rPr>
          <w:kern w:val="24"/>
          <w:sz w:val="22"/>
          <w:vertAlign w:val="superscript"/>
        </w:rPr>
        <w:footnoteReference w:id="70"/>
      </w:r>
    </w:p>
    <w:p w14:paraId="3522D164" w14:textId="77777777" w:rsidR="002C58A4" w:rsidRPr="0089517D" w:rsidRDefault="002C58A4" w:rsidP="002C58A4">
      <w:pPr>
        <w:spacing w:before="120" w:after="120" w:line="240" w:lineRule="auto"/>
        <w:jc w:val="both"/>
        <w:rPr>
          <w:kern w:val="28"/>
        </w:rPr>
      </w:pPr>
      <w:r w:rsidRPr="0089517D">
        <w:rPr>
          <w:kern w:val="28"/>
        </w:rPr>
        <w:t>Selon la Cour suprême, les faits circonstanciels pourront permettre à un tribunal d’inférer l’existence d’un risque qui requiert protection</w:t>
      </w:r>
      <w:r w:rsidRPr="0089517D">
        <w:rPr>
          <w:kern w:val="28"/>
          <w:vertAlign w:val="superscript"/>
        </w:rPr>
        <w:footnoteReference w:id="71"/>
      </w:r>
      <w:r w:rsidRPr="0089517D">
        <w:rPr>
          <w:kern w:val="28"/>
        </w:rPr>
        <w:t>. Le préjudice peut être inféré en appliquant la « logique et la raison »</w:t>
      </w:r>
      <w:r w:rsidRPr="0089517D">
        <w:rPr>
          <w:kern w:val="28"/>
          <w:vertAlign w:val="superscript"/>
        </w:rPr>
        <w:footnoteReference w:id="72"/>
      </w:r>
      <w:r w:rsidRPr="0089517D">
        <w:rPr>
          <w:kern w:val="28"/>
        </w:rPr>
        <w:t>. C’est le cas dans le présent dossier, tel que décrit ci-haut.</w:t>
      </w:r>
    </w:p>
    <w:p w14:paraId="13C7BFA6" w14:textId="77777777" w:rsidR="002C58A4" w:rsidRPr="0089517D" w:rsidRDefault="002C58A4" w:rsidP="002C58A4">
      <w:pPr>
        <w:numPr>
          <w:ilvl w:val="0"/>
          <w:numId w:val="18"/>
        </w:numPr>
        <w:spacing w:before="120" w:after="120" w:line="240" w:lineRule="auto"/>
        <w:jc w:val="both"/>
        <w:rPr>
          <w:kern w:val="28"/>
        </w:rPr>
      </w:pPr>
      <w:r w:rsidRPr="0089517D">
        <w:rPr>
          <w:kern w:val="28"/>
        </w:rPr>
        <w:t>Vu qu’il s’agit ici d’une application des principes aux faits de l’espèce, la norme d’intervention est celle de l’erreur manifeste</w:t>
      </w:r>
      <w:r w:rsidRPr="0089517D">
        <w:rPr>
          <w:kern w:val="28"/>
          <w:vertAlign w:val="superscript"/>
        </w:rPr>
        <w:footnoteReference w:id="73"/>
      </w:r>
      <w:r w:rsidRPr="0089517D">
        <w:rPr>
          <w:kern w:val="28"/>
        </w:rPr>
        <w:t xml:space="preserve">. Même s’il devait y avoir une absence de preuve sur un aspect quelconque (que je ne constate pas), cela ne peut pas, en l’espèce, </w:t>
      </w:r>
      <w:r w:rsidRPr="0089517D">
        <w:rPr>
          <w:kern w:val="28"/>
        </w:rPr>
        <w:lastRenderedPageBreak/>
        <w:t>constituer une erreur manifeste compte tenu des éléments que je viens de souligner. La norme d’intervention fait obstacle à une intervention dans ces circonstances.</w:t>
      </w:r>
    </w:p>
    <w:p w14:paraId="7110005E" w14:textId="77777777" w:rsidR="002C58A4" w:rsidRPr="0089517D" w:rsidRDefault="002C58A4" w:rsidP="002C58A4">
      <w:pPr>
        <w:spacing w:before="120" w:after="120" w:line="240" w:lineRule="auto"/>
        <w:jc w:val="center"/>
        <w:rPr>
          <w:kern w:val="28"/>
        </w:rPr>
      </w:pPr>
      <w:r w:rsidRPr="0089517D">
        <w:rPr>
          <w:kern w:val="28"/>
        </w:rPr>
        <w:t>* * *</w:t>
      </w:r>
    </w:p>
    <w:p w14:paraId="0DEB17C7" w14:textId="125CE9B2" w:rsidR="002C58A4" w:rsidRPr="0089517D" w:rsidRDefault="002C58A4" w:rsidP="002C58A4">
      <w:pPr>
        <w:numPr>
          <w:ilvl w:val="0"/>
          <w:numId w:val="18"/>
        </w:numPr>
        <w:spacing w:before="120" w:after="120" w:line="240" w:lineRule="auto"/>
        <w:jc w:val="both"/>
        <w:rPr>
          <w:kern w:val="28"/>
        </w:rPr>
      </w:pPr>
      <w:r w:rsidRPr="0089517D">
        <w:rPr>
          <w:kern w:val="28"/>
        </w:rPr>
        <w:t>Outre la protection de l’intégrité du processus d’appel d’offres public, l’autre intérêt public en jeu ici est le litige lui-même, car «</w:t>
      </w:r>
      <w:r w:rsidR="00164238" w:rsidRPr="0089517D">
        <w:rPr>
          <w:kern w:val="28"/>
        </w:rPr>
        <w:t> </w:t>
      </w:r>
      <w:r w:rsidRPr="0089517D">
        <w:rPr>
          <w:kern w:val="28"/>
        </w:rPr>
        <w:t>[...] il en va de l’intérêt du public que les affaires soumises aux tribunaux soient traitées de façon équitable et appropriée [...]</w:t>
      </w:r>
      <w:r w:rsidR="00164238" w:rsidRPr="0089517D">
        <w:rPr>
          <w:kern w:val="28"/>
        </w:rPr>
        <w:t> </w:t>
      </w:r>
      <w:r w:rsidRPr="0089517D">
        <w:rPr>
          <w:kern w:val="28"/>
        </w:rPr>
        <w:t>»</w:t>
      </w:r>
      <w:r w:rsidRPr="0089517D">
        <w:rPr>
          <w:kern w:val="28"/>
          <w:vertAlign w:val="superscript"/>
        </w:rPr>
        <w:footnoteReference w:id="74"/>
      </w:r>
      <w:r w:rsidRPr="0089517D">
        <w:rPr>
          <w:kern w:val="28"/>
        </w:rPr>
        <w:t>.</w:t>
      </w:r>
    </w:p>
    <w:p w14:paraId="0EFBEA10" w14:textId="77777777" w:rsidR="002C58A4" w:rsidRPr="0089517D" w:rsidRDefault="002C58A4" w:rsidP="002C58A4">
      <w:pPr>
        <w:numPr>
          <w:ilvl w:val="0"/>
          <w:numId w:val="18"/>
        </w:numPr>
        <w:spacing w:before="120" w:after="120" w:line="240" w:lineRule="auto"/>
        <w:jc w:val="both"/>
        <w:rPr>
          <w:kern w:val="28"/>
        </w:rPr>
      </w:pPr>
      <w:r w:rsidRPr="0089517D">
        <w:rPr>
          <w:kern w:val="28"/>
        </w:rPr>
        <w:t>La perspective de devoir communiquer des renseignements commerciaux sensibles ne devrait pas dissuader les gens d’agir en justice</w:t>
      </w:r>
      <w:r w:rsidRPr="0089517D">
        <w:rPr>
          <w:kern w:val="28"/>
          <w:vertAlign w:val="superscript"/>
        </w:rPr>
        <w:footnoteReference w:id="75"/>
      </w:r>
      <w:r w:rsidRPr="0089517D">
        <w:rPr>
          <w:kern w:val="28"/>
        </w:rPr>
        <w:t>. Obliger le défendeur à divulguer son profit, un élément d’une future offre qui lui serait préjudiciable dans le cadre de ce processus éventuel afin de poursuivre son action sur la première étape de responsabilité de l’instance scindée n’est ni équitable ni approprié en l’espèce. Cela envoie un message aux justiciables qui est contraire à l’intérêt public, soit que contester le comportement adopté par une municipalité dans un processus d’appel d’offres pourrait vous nuire dans le prochain processus.</w:t>
      </w:r>
    </w:p>
    <w:p w14:paraId="714F2733" w14:textId="77777777" w:rsidR="002C58A4" w:rsidRPr="0089517D" w:rsidRDefault="002C58A4" w:rsidP="002C58A4">
      <w:pPr>
        <w:spacing w:before="120" w:after="120" w:line="240" w:lineRule="auto"/>
        <w:jc w:val="center"/>
        <w:rPr>
          <w:kern w:val="28"/>
        </w:rPr>
      </w:pPr>
      <w:r w:rsidRPr="0089517D">
        <w:rPr>
          <w:kern w:val="28"/>
        </w:rPr>
        <w:t>* * *</w:t>
      </w:r>
    </w:p>
    <w:p w14:paraId="049FC2FF" w14:textId="117E0FA2" w:rsidR="002C58A4" w:rsidRPr="0089517D" w:rsidRDefault="002C58A4" w:rsidP="002C58A4">
      <w:pPr>
        <w:numPr>
          <w:ilvl w:val="0"/>
          <w:numId w:val="18"/>
        </w:numPr>
        <w:spacing w:before="120" w:after="120" w:line="240" w:lineRule="auto"/>
        <w:jc w:val="both"/>
        <w:rPr>
          <w:kern w:val="28"/>
        </w:rPr>
      </w:pPr>
      <w:r w:rsidRPr="0089517D">
        <w:rPr>
          <w:kern w:val="28"/>
        </w:rPr>
        <w:t>Concernant la proportionnalité de l’ordonnance, je souligne que le seul élément du dossier qui n’est pas public à l’heure actuelle est le montant des dommages-intérêts réclamés (supérieur à 100 000 $), à savoir le profit non réalisé. Compte tenu de la scission d’instance, cette preuve n’est pas pertinente tant que la question de la responsabilité n’aura pas été tranchée, mais elle est quand même communiquée immédiatement à l’appelante et assujettie à une obligation implicite de confidentialité qui fait en sorte que les avocats peuvent partager l’information avec leur client, mais ne peuvent autrement divulguer l’information publiquement</w:t>
      </w:r>
      <w:r w:rsidRPr="0089517D">
        <w:rPr>
          <w:kern w:val="28"/>
          <w:vertAlign w:val="superscript"/>
        </w:rPr>
        <w:footnoteReference w:id="76"/>
      </w:r>
      <w:r w:rsidRPr="0089517D">
        <w:rPr>
          <w:kern w:val="28"/>
        </w:rPr>
        <w:t>. Tout est connu en lisant la requête introductive d’instance y compris, je souligne que les dommages-intérêts demandés sont les profits à être gagnés sur un contrat de quatre-vingt-quinze millions de dollars. En quoi le principe de la publicité des débats judiciaires subit-il un préjudice? Comment la publicité des débats est-elle servie si le public connaît à ce stade de l’instance le montant exact du dédommagement réclamé par l’intimée, que ce soit cinq, dix ou quinze millions de dollars ou toute autre somme?</w:t>
      </w:r>
    </w:p>
    <w:p w14:paraId="000860AC" w14:textId="77777777" w:rsidR="002C58A4" w:rsidRPr="0089517D" w:rsidRDefault="002C58A4" w:rsidP="002C58A4">
      <w:pPr>
        <w:numPr>
          <w:ilvl w:val="0"/>
          <w:numId w:val="18"/>
        </w:numPr>
        <w:spacing w:before="120" w:after="120" w:line="240" w:lineRule="auto"/>
        <w:jc w:val="both"/>
        <w:rPr>
          <w:kern w:val="28"/>
        </w:rPr>
      </w:pPr>
      <w:r w:rsidRPr="0089517D">
        <w:rPr>
          <w:kern w:val="28"/>
        </w:rPr>
        <w:t>D’ailleurs, au risque de me répéter, l’ordonnance devra prendre fin dès que le premier jugement sur la responsabilité sera rendu et les dommages-intérêts deviendront alors pertinents pour la suite du litige. Ainsi, la contrainte sur la publicité est limitée dans sa durée.</w:t>
      </w:r>
    </w:p>
    <w:p w14:paraId="5C714428" w14:textId="77777777" w:rsidR="002C58A4" w:rsidRPr="0089517D" w:rsidRDefault="002C58A4" w:rsidP="002C58A4">
      <w:pPr>
        <w:numPr>
          <w:ilvl w:val="0"/>
          <w:numId w:val="18"/>
        </w:numPr>
        <w:spacing w:before="120" w:after="120" w:line="240" w:lineRule="auto"/>
        <w:jc w:val="both"/>
        <w:rPr>
          <w:kern w:val="28"/>
        </w:rPr>
      </w:pPr>
      <w:r w:rsidRPr="0089517D">
        <w:rPr>
          <w:kern w:val="28"/>
        </w:rPr>
        <w:lastRenderedPageBreak/>
        <w:t>En conséquence, l’intérêt concurrent du concept de la publicité des débats judiciaires n’est que très légèrement entravé par le jugement entrepris, un critère à prendre en compte dans la balance, comme l’a proposé la Cour suprême</w:t>
      </w:r>
      <w:r w:rsidRPr="0089517D">
        <w:rPr>
          <w:kern w:val="28"/>
          <w:vertAlign w:val="superscript"/>
        </w:rPr>
        <w:footnoteReference w:id="77"/>
      </w:r>
      <w:r w:rsidRPr="0089517D">
        <w:rPr>
          <w:kern w:val="28"/>
        </w:rPr>
        <w:t>. Compte tenu de l’effet salutaire de l’ordonnance, notamment de protéger l’intégrité du système d’appel d’offres public, et l’accès à la justice, les avantages de l’ordonnance l’emportent sur l’effet négatif. La juge ne commet pas d’erreur à cet égard.</w:t>
      </w:r>
    </w:p>
    <w:p w14:paraId="005089AE" w14:textId="77777777" w:rsidR="002C58A4" w:rsidRPr="0089517D" w:rsidRDefault="002C58A4" w:rsidP="002C58A4">
      <w:pPr>
        <w:numPr>
          <w:ilvl w:val="0"/>
          <w:numId w:val="18"/>
        </w:numPr>
        <w:spacing w:before="120" w:after="120" w:line="240" w:lineRule="auto"/>
        <w:jc w:val="both"/>
        <w:rPr>
          <w:kern w:val="28"/>
        </w:rPr>
      </w:pPr>
      <w:r w:rsidRPr="0089517D">
        <w:rPr>
          <w:kern w:val="28"/>
        </w:rPr>
        <w:t>Compte tenu de tout ce qui précède, je propose que l’appel soit rejeté avec les frais de justice.</w:t>
      </w:r>
    </w:p>
    <w:tbl>
      <w:tblPr>
        <w:tblW w:w="0" w:type="auto"/>
        <w:tblInd w:w="70" w:type="dxa"/>
        <w:tblLayout w:type="fixed"/>
        <w:tblCellMar>
          <w:left w:w="70" w:type="dxa"/>
          <w:right w:w="70" w:type="dxa"/>
        </w:tblCellMar>
        <w:tblLook w:val="0000" w:firstRow="0" w:lastRow="0" w:firstColumn="0" w:lastColumn="0" w:noHBand="0" w:noVBand="0"/>
      </w:tblPr>
      <w:tblGrid>
        <w:gridCol w:w="4735"/>
        <w:gridCol w:w="4625"/>
      </w:tblGrid>
      <w:tr w:rsidR="002C58A4" w:rsidRPr="0089517D" w14:paraId="22BA2ADE" w14:textId="77777777" w:rsidTr="00856AE5">
        <w:trPr>
          <w:cantSplit/>
          <w:trHeight w:val="513"/>
        </w:trPr>
        <w:tc>
          <w:tcPr>
            <w:tcW w:w="9360" w:type="dxa"/>
            <w:gridSpan w:val="2"/>
          </w:tcPr>
          <w:p w14:paraId="2CBE7C7A" w14:textId="77777777" w:rsidR="002C58A4" w:rsidRPr="0089517D" w:rsidRDefault="002C58A4" w:rsidP="002C58A4">
            <w:pPr>
              <w:spacing w:line="240" w:lineRule="auto"/>
            </w:pPr>
          </w:p>
        </w:tc>
      </w:tr>
      <w:tr w:rsidR="002C58A4" w:rsidRPr="0089517D" w14:paraId="135CCC7D" w14:textId="77777777" w:rsidTr="00856AE5">
        <w:tblPrEx>
          <w:tblCellMar>
            <w:left w:w="0" w:type="dxa"/>
            <w:right w:w="0" w:type="dxa"/>
          </w:tblCellMar>
        </w:tblPrEx>
        <w:trPr>
          <w:cantSplit/>
          <w:trHeight w:val="277"/>
        </w:trPr>
        <w:tc>
          <w:tcPr>
            <w:tcW w:w="4735" w:type="dxa"/>
            <w:vMerge w:val="restart"/>
          </w:tcPr>
          <w:p w14:paraId="5B0B40A4" w14:textId="77777777" w:rsidR="002C58A4" w:rsidRPr="0089517D" w:rsidRDefault="002C58A4" w:rsidP="002C58A4">
            <w:pPr>
              <w:spacing w:line="240" w:lineRule="auto"/>
            </w:pPr>
          </w:p>
        </w:tc>
        <w:tc>
          <w:tcPr>
            <w:tcW w:w="4625" w:type="dxa"/>
            <w:tcBorders>
              <w:bottom w:val="single" w:sz="8" w:space="0" w:color="auto"/>
            </w:tcBorders>
          </w:tcPr>
          <w:p w14:paraId="59BBC40B" w14:textId="77777777" w:rsidR="002C58A4" w:rsidRPr="0089517D" w:rsidRDefault="002C58A4" w:rsidP="002C58A4">
            <w:pPr>
              <w:spacing w:line="240" w:lineRule="auto"/>
            </w:pPr>
          </w:p>
        </w:tc>
      </w:tr>
      <w:tr w:rsidR="002C58A4" w:rsidRPr="00313611" w14:paraId="21F1017E" w14:textId="77777777" w:rsidTr="00856AE5">
        <w:tblPrEx>
          <w:tblCellMar>
            <w:left w:w="0" w:type="dxa"/>
            <w:right w:w="0" w:type="dxa"/>
          </w:tblCellMar>
        </w:tblPrEx>
        <w:trPr>
          <w:cantSplit/>
          <w:trHeight w:val="276"/>
        </w:trPr>
        <w:tc>
          <w:tcPr>
            <w:tcW w:w="4735" w:type="dxa"/>
            <w:vMerge/>
          </w:tcPr>
          <w:p w14:paraId="6A1D9FDD" w14:textId="77777777" w:rsidR="002C58A4" w:rsidRPr="0089517D" w:rsidRDefault="002C58A4" w:rsidP="002C58A4">
            <w:pPr>
              <w:spacing w:line="240" w:lineRule="auto"/>
            </w:pPr>
          </w:p>
        </w:tc>
        <w:tc>
          <w:tcPr>
            <w:tcW w:w="4625" w:type="dxa"/>
          </w:tcPr>
          <w:p w14:paraId="0D8AD3EE" w14:textId="4FA580C2" w:rsidR="002C58A4" w:rsidRPr="002C58A4" w:rsidRDefault="00801DC3" w:rsidP="002C58A4">
            <w:pPr>
              <w:spacing w:line="240" w:lineRule="auto"/>
              <w:rPr>
                <w:lang w:val="en-CA"/>
              </w:rPr>
            </w:pPr>
            <w:r>
              <w:t>MARK SCHRAGER, J.C.A.</w:t>
            </w:r>
          </w:p>
        </w:tc>
      </w:tr>
    </w:tbl>
    <w:p w14:paraId="35D302CF" w14:textId="77777777" w:rsidR="002C58A4" w:rsidRPr="002C58A4" w:rsidRDefault="002C58A4" w:rsidP="002C58A4">
      <w:pPr>
        <w:spacing w:line="240" w:lineRule="auto"/>
        <w:rPr>
          <w:lang w:val="en-CA"/>
        </w:rPr>
      </w:pPr>
    </w:p>
    <w:p w14:paraId="24183A43" w14:textId="77777777" w:rsidR="00740A17" w:rsidRPr="003E05D3" w:rsidRDefault="00740A17" w:rsidP="002C58A4">
      <w:pPr>
        <w:spacing w:line="240" w:lineRule="auto"/>
        <w:rPr>
          <w:lang w:val="en-CA"/>
        </w:rPr>
      </w:pPr>
    </w:p>
    <w:sectPr w:rsidR="00740A17" w:rsidRPr="003E05D3" w:rsidSect="004566AB">
      <w:headerReference w:type="default" r:id="rId8"/>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5D86" w14:textId="77777777" w:rsidR="00D319FF" w:rsidRDefault="00D319FF">
      <w:r>
        <w:separator/>
      </w:r>
    </w:p>
  </w:endnote>
  <w:endnote w:type="continuationSeparator" w:id="0">
    <w:p w14:paraId="5261F179" w14:textId="77777777" w:rsidR="00D319FF" w:rsidRDefault="00D3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E0A1" w14:textId="77777777" w:rsidR="00D319FF" w:rsidRDefault="00D319FF">
      <w:r>
        <w:separator/>
      </w:r>
    </w:p>
  </w:footnote>
  <w:footnote w:type="continuationSeparator" w:id="0">
    <w:p w14:paraId="424FAE4E" w14:textId="77777777" w:rsidR="00D319FF" w:rsidRDefault="00D319FF">
      <w:r>
        <w:continuationSeparator/>
      </w:r>
    </w:p>
  </w:footnote>
  <w:footnote w:id="1">
    <w:p w14:paraId="11752C56"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rPr>
        <w:t>EBC inc.</w:t>
      </w:r>
      <w:r w:rsidRPr="00A3007A">
        <w:t xml:space="preserve"> </w:t>
      </w:r>
      <w:r w:rsidRPr="00BE3C97">
        <w:rPr>
          <w:i/>
          <w:iCs/>
        </w:rPr>
        <w:t>c.</w:t>
      </w:r>
      <w:r w:rsidRPr="00A3007A">
        <w:t xml:space="preserve"> </w:t>
      </w:r>
      <w:r w:rsidRPr="00A3007A">
        <w:rPr>
          <w:i/>
        </w:rPr>
        <w:t>Ville de Montréal</w:t>
      </w:r>
      <w:r w:rsidRPr="00A3007A">
        <w:t xml:space="preserve">, 2025 QCCS 503 [Jugement entrepris]. </w:t>
      </w:r>
    </w:p>
  </w:footnote>
  <w:footnote w:id="2">
    <w:p w14:paraId="57328EF8" w14:textId="5E0A8CF3" w:rsidR="003E05D3" w:rsidRPr="00A3007A" w:rsidRDefault="003E05D3" w:rsidP="003E05D3">
      <w:pPr>
        <w:pStyle w:val="Notedebasdepage"/>
      </w:pPr>
      <w:r w:rsidRPr="00A3007A">
        <w:rPr>
          <w:rStyle w:val="Appelnotedebasdep"/>
        </w:rPr>
        <w:footnoteRef/>
      </w:r>
      <w:r w:rsidRPr="00A3007A">
        <w:t xml:space="preserve"> </w:t>
      </w:r>
      <w:r w:rsidRPr="00A3007A">
        <w:tab/>
        <w:t>Voir</w:t>
      </w:r>
      <w:r w:rsidR="00BE3C97">
        <w:t xml:space="preserve"> </w:t>
      </w:r>
      <w:r w:rsidRPr="00A3007A">
        <w:rPr>
          <w:i/>
          <w:iCs/>
        </w:rPr>
        <w:t>Loi sur les cités et villes</w:t>
      </w:r>
      <w:r w:rsidRPr="00A3007A">
        <w:t>, RLRQ, c. C-19, art. 573 al. 1 paragr. (4) et (6) et 573.1.0.1.1 al. (3)d).</w:t>
      </w:r>
    </w:p>
  </w:footnote>
  <w:footnote w:id="3">
    <w:p w14:paraId="49A3B4FB" w14:textId="77777777" w:rsidR="003E05D3" w:rsidRPr="00A3007A" w:rsidRDefault="003E05D3" w:rsidP="003E05D3">
      <w:pPr>
        <w:pStyle w:val="Notedebasdepage"/>
      </w:pPr>
      <w:r w:rsidRPr="00A3007A">
        <w:rPr>
          <w:rStyle w:val="Appelnotedebasdep"/>
        </w:rPr>
        <w:footnoteRef/>
      </w:r>
      <w:r w:rsidRPr="00A3007A">
        <w:t xml:space="preserve"> </w:t>
      </w:r>
      <w:r w:rsidRPr="00A3007A">
        <w:tab/>
        <w:t>Jugement entrepris, paragr. 22-24.</w:t>
      </w:r>
    </w:p>
  </w:footnote>
  <w:footnote w:id="4">
    <w:p w14:paraId="2862E8D0" w14:textId="77777777" w:rsidR="003E05D3" w:rsidRPr="00A3007A" w:rsidRDefault="003E05D3" w:rsidP="003E05D3">
      <w:pPr>
        <w:pStyle w:val="Notedebasdepage"/>
      </w:pPr>
      <w:r w:rsidRPr="00A3007A">
        <w:rPr>
          <w:rStyle w:val="Appelnotedebasdep"/>
        </w:rPr>
        <w:footnoteRef/>
      </w:r>
      <w:r w:rsidRPr="00A3007A">
        <w:t xml:space="preserve"> </w:t>
      </w:r>
      <w:r w:rsidRPr="00A3007A">
        <w:tab/>
        <w:t xml:space="preserve">Jugement entrepris. </w:t>
      </w:r>
    </w:p>
  </w:footnote>
  <w:footnote w:id="5">
    <w:p w14:paraId="758A2F0D" w14:textId="58FC11B3" w:rsidR="003E05D3" w:rsidRPr="00A3007A" w:rsidRDefault="003E05D3" w:rsidP="003E05D3">
      <w:pPr>
        <w:pStyle w:val="Notedebasdepage"/>
      </w:pPr>
      <w:r w:rsidRPr="00A3007A">
        <w:rPr>
          <w:rStyle w:val="Appelnotedebasdep"/>
        </w:rPr>
        <w:footnoteRef/>
      </w:r>
      <w:r w:rsidRPr="00A3007A">
        <w:t xml:space="preserve"> </w:t>
      </w:r>
      <w:r w:rsidRPr="00A3007A">
        <w:tab/>
      </w:r>
      <w:r w:rsidR="00BE3C97">
        <w:rPr>
          <w:i/>
          <w:iCs/>
        </w:rPr>
        <w:t>Id.</w:t>
      </w:r>
      <w:r w:rsidRPr="00CC3004">
        <w:rPr>
          <w:i/>
          <w:iCs/>
        </w:rPr>
        <w:t>,</w:t>
      </w:r>
      <w:r w:rsidRPr="00A3007A">
        <w:t xml:space="preserve"> paragr. 30.</w:t>
      </w:r>
    </w:p>
  </w:footnote>
  <w:footnote w:id="6">
    <w:p w14:paraId="513C0E77" w14:textId="087CCD07" w:rsidR="003E05D3" w:rsidRPr="00A3007A" w:rsidRDefault="003E05D3" w:rsidP="003E05D3">
      <w:pPr>
        <w:pStyle w:val="Notedebasdepage"/>
      </w:pPr>
      <w:r w:rsidRPr="00A3007A">
        <w:rPr>
          <w:rStyle w:val="Appelnotedebasdep"/>
        </w:rPr>
        <w:footnoteRef/>
      </w:r>
      <w:r w:rsidRPr="00A3007A">
        <w:t xml:space="preserve"> </w:t>
      </w:r>
      <w:r w:rsidRPr="00A3007A">
        <w:tab/>
        <w:t xml:space="preserve">Voir également art. 23 de la </w:t>
      </w:r>
      <w:r w:rsidRPr="00A3007A">
        <w:rPr>
          <w:i/>
        </w:rPr>
        <w:t xml:space="preserve">Charte des droits et libertés de la </w:t>
      </w:r>
      <w:r w:rsidRPr="00DF5EBC">
        <w:rPr>
          <w:i/>
          <w:iCs/>
        </w:rPr>
        <w:t>personne</w:t>
      </w:r>
      <w:r w:rsidRPr="00A3007A">
        <w:t>, RLRQ, c. C-12 [</w:t>
      </w:r>
      <w:r w:rsidRPr="00A3007A">
        <w:rPr>
          <w:i/>
          <w:iCs/>
        </w:rPr>
        <w:t>Charte québécoise</w:t>
      </w:r>
      <w:r w:rsidRPr="00A3007A">
        <w:t>]. Sur l’historique du principe de la publicité des débats judiciaires dans la procédure civile québécoise, voir notamment</w:t>
      </w:r>
      <w:r w:rsidR="00D01DB3">
        <w:t xml:space="preserve"> </w:t>
      </w:r>
      <w:r w:rsidRPr="00A3007A">
        <w:rPr>
          <w:i/>
        </w:rPr>
        <w:t>MédiaQMI inc</w:t>
      </w:r>
      <w:r w:rsidRPr="00A3007A">
        <w:rPr>
          <w:iCs/>
        </w:rPr>
        <w:t xml:space="preserve">. </w:t>
      </w:r>
      <w:r w:rsidRPr="00A3007A">
        <w:rPr>
          <w:i/>
        </w:rPr>
        <w:t>c. Kamel</w:t>
      </w:r>
      <w:r w:rsidRPr="00A3007A">
        <w:t>, 2021 CSC 23 [</w:t>
      </w:r>
      <w:r w:rsidRPr="00A3007A">
        <w:rPr>
          <w:i/>
          <w:iCs/>
        </w:rPr>
        <w:t>MédiaQMI</w:t>
      </w:r>
      <w:r w:rsidRPr="00A3007A">
        <w:t xml:space="preserve">], paragr. 28-32 (motifs Côté j.) et paragr. 99 (motifs dissidents, Wagner j.c.c. et Kasirer j., non contredits en cela par la majorité). Voir également </w:t>
      </w:r>
      <w:r w:rsidRPr="00DF5EBC">
        <w:rPr>
          <w:i/>
          <w:iCs/>
        </w:rPr>
        <w:t>Sébastien Rochette et Maude Rivard</w:t>
      </w:r>
      <w:r w:rsidRPr="00A3007A">
        <w:t xml:space="preserve">, « Article 11 » dans Luc Chamberland dir., </w:t>
      </w:r>
      <w:r w:rsidRPr="00A3007A">
        <w:rPr>
          <w:i/>
        </w:rPr>
        <w:t xml:space="preserve">Le grand collectif: Code de procédure civile: commentaires et </w:t>
      </w:r>
      <w:r w:rsidRPr="00A3007A">
        <w:rPr>
          <w:i/>
          <w:iCs/>
        </w:rPr>
        <w:t>annotations</w:t>
      </w:r>
      <w:r w:rsidRPr="00A3007A">
        <w:t>, 9</w:t>
      </w:r>
      <w:r w:rsidRPr="00A3007A">
        <w:rPr>
          <w:vertAlign w:val="superscript"/>
        </w:rPr>
        <w:t>e</w:t>
      </w:r>
      <w:r w:rsidRPr="00A3007A">
        <w:t xml:space="preserve"> éd., vol. 1, Montréal, Yvon Blais, 2024, p. 88-96.</w:t>
      </w:r>
    </w:p>
  </w:footnote>
  <w:footnote w:id="7">
    <w:p w14:paraId="0803D81B"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MédiaQMI</w:t>
      </w:r>
      <w:r w:rsidRPr="00A3007A">
        <w:t>, motifs dissidents, mais non contredits en cela par la majorité.</w:t>
      </w:r>
    </w:p>
  </w:footnote>
  <w:footnote w:id="8">
    <w:p w14:paraId="1686345D" w14:textId="77777777" w:rsidR="003E05D3" w:rsidRPr="00A3007A" w:rsidRDefault="003E05D3" w:rsidP="003E05D3">
      <w:pPr>
        <w:pStyle w:val="Notedebasdepage"/>
        <w:rPr>
          <w:lang w:val="en-US"/>
        </w:rPr>
      </w:pPr>
      <w:r w:rsidRPr="00A3007A">
        <w:rPr>
          <w:rStyle w:val="Appelnotedebasdep"/>
        </w:rPr>
        <w:footnoteRef/>
      </w:r>
      <w:r w:rsidRPr="00A3007A">
        <w:t xml:space="preserve"> </w:t>
      </w:r>
      <w:r w:rsidRPr="00A3007A">
        <w:tab/>
      </w:r>
      <w:r w:rsidRPr="00A3007A">
        <w:rPr>
          <w:i/>
          <w:iCs/>
        </w:rPr>
        <w:t>Québec (Communauté urbaine de) c. Corp. Notre-Dame de Bon-Secours</w:t>
      </w:r>
      <w:r w:rsidRPr="00A3007A">
        <w:t xml:space="preserve">, [1994] 3 R.C.S. 3, p. 18. Voir également Pierre-André Côté et Mathieu Devinat, </w:t>
      </w:r>
      <w:r w:rsidRPr="00A3007A">
        <w:rPr>
          <w:i/>
        </w:rPr>
        <w:t>Interprétation des lois</w:t>
      </w:r>
      <w:r w:rsidRPr="00A3007A">
        <w:t>, 5</w:t>
      </w:r>
      <w:r w:rsidRPr="00A3007A">
        <w:rPr>
          <w:vertAlign w:val="superscript"/>
        </w:rPr>
        <w:t>e</w:t>
      </w:r>
      <w:r w:rsidRPr="00A3007A">
        <w:t xml:space="preserve"> éd., Montréal, Les Éditions Thémis, 2021, paragr. </w:t>
      </w:r>
      <w:r w:rsidRPr="00A3007A">
        <w:rPr>
          <w:lang w:val="en-US"/>
        </w:rPr>
        <w:t xml:space="preserve">1634-1635. </w:t>
      </w:r>
    </w:p>
  </w:footnote>
  <w:footnote w:id="9">
    <w:p w14:paraId="3593A23C" w14:textId="77777777" w:rsidR="003E05D3" w:rsidRPr="00A3007A" w:rsidRDefault="003E05D3" w:rsidP="003E05D3">
      <w:pPr>
        <w:pStyle w:val="Notedebasdepage"/>
        <w:rPr>
          <w:lang w:val="en-CA"/>
        </w:rPr>
      </w:pPr>
      <w:r w:rsidRPr="00A3007A">
        <w:rPr>
          <w:rStyle w:val="Appelnotedebasdep"/>
        </w:rPr>
        <w:footnoteRef/>
      </w:r>
      <w:r w:rsidRPr="00A3007A">
        <w:rPr>
          <w:lang w:val="en-CA"/>
        </w:rPr>
        <w:t xml:space="preserve"> </w:t>
      </w:r>
      <w:r w:rsidRPr="00A3007A">
        <w:rPr>
          <w:lang w:val="en-CA"/>
        </w:rPr>
        <w:tab/>
      </w:r>
      <w:r w:rsidRPr="00A3007A">
        <w:rPr>
          <w:i/>
          <w:lang w:val="en-CA"/>
        </w:rPr>
        <w:t>Canadian Indemnity Co.</w:t>
      </w:r>
      <w:r w:rsidRPr="00A3007A">
        <w:rPr>
          <w:lang w:val="en-CA"/>
        </w:rPr>
        <w:t xml:space="preserve"> </w:t>
      </w:r>
      <w:r w:rsidRPr="00A3007A">
        <w:rPr>
          <w:i/>
          <w:iCs/>
          <w:lang w:val="en-CA"/>
        </w:rPr>
        <w:t>c</w:t>
      </w:r>
      <w:r w:rsidRPr="00A3007A">
        <w:rPr>
          <w:lang w:val="en-CA"/>
        </w:rPr>
        <w:t xml:space="preserve">. </w:t>
      </w:r>
      <w:r w:rsidRPr="00A3007A">
        <w:rPr>
          <w:i/>
          <w:lang w:val="en-CA"/>
        </w:rPr>
        <w:t>Canadian Johns-Manville Co.</w:t>
      </w:r>
      <w:r w:rsidRPr="00A3007A">
        <w:rPr>
          <w:lang w:val="en-CA"/>
        </w:rPr>
        <w:t>, [1990] 2 R.C.S. 549, p. 574.</w:t>
      </w:r>
    </w:p>
  </w:footnote>
  <w:footnote w:id="10">
    <w:p w14:paraId="7BC3B873"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rPr>
        <w:t>Michel</w:t>
      </w:r>
      <w:r w:rsidRPr="00A3007A">
        <w:t xml:space="preserve"> </w:t>
      </w:r>
      <w:r w:rsidRPr="00A3007A">
        <w:rPr>
          <w:i/>
          <w:iCs/>
        </w:rPr>
        <w:t>c</w:t>
      </w:r>
      <w:r w:rsidRPr="00A3007A">
        <w:t xml:space="preserve">. </w:t>
      </w:r>
      <w:r w:rsidRPr="00A3007A">
        <w:rPr>
          <w:i/>
        </w:rPr>
        <w:t>Graydon</w:t>
      </w:r>
      <w:r w:rsidRPr="00A3007A">
        <w:t xml:space="preserve">, 2020 CSC 24, paragr. 21, citée dans </w:t>
      </w:r>
      <w:r w:rsidRPr="00A3007A">
        <w:rPr>
          <w:i/>
          <w:iCs/>
        </w:rPr>
        <w:t>MédiaQMI</w:t>
      </w:r>
      <w:r w:rsidRPr="00A3007A">
        <w:t xml:space="preserve">, paragr. 37. </w:t>
      </w:r>
    </w:p>
  </w:footnote>
  <w:footnote w:id="11">
    <w:p w14:paraId="1E88201F" w14:textId="20D6EBF8" w:rsidR="003E05D3" w:rsidRPr="00A3007A" w:rsidRDefault="003E05D3" w:rsidP="003E05D3">
      <w:pPr>
        <w:pStyle w:val="Notedebasdepage"/>
      </w:pPr>
      <w:r w:rsidRPr="00A3007A">
        <w:rPr>
          <w:rStyle w:val="Appelnotedebasdep"/>
        </w:rPr>
        <w:footnoteRef/>
      </w:r>
      <w:r w:rsidRPr="00A3007A">
        <w:t xml:space="preserve"> </w:t>
      </w:r>
      <w:r w:rsidRPr="00A3007A">
        <w:tab/>
        <w:t xml:space="preserve">Définition de « renseignement », Larousse (en ligne). Le </w:t>
      </w:r>
      <w:r w:rsidRPr="00A3007A">
        <w:rPr>
          <w:i/>
          <w:iCs/>
        </w:rPr>
        <w:t>Dictionnaire de droit québécois et canadien</w:t>
      </w:r>
      <w:r w:rsidRPr="00A3007A">
        <w:t xml:space="preserve"> définit le terme «</w:t>
      </w:r>
      <w:r w:rsidR="00A3230B">
        <w:t> </w:t>
      </w:r>
      <w:r w:rsidRPr="00A3007A">
        <w:t>renseignement</w:t>
      </w:r>
      <w:r w:rsidR="00A3230B">
        <w:t> </w:t>
      </w:r>
      <w:r w:rsidRPr="00A3007A">
        <w:t>» comme une «</w:t>
      </w:r>
      <w:r w:rsidR="00A3230B">
        <w:t> </w:t>
      </w:r>
      <w:r w:rsidRPr="00A3007A">
        <w:t>information communiquée à une personne », voir</w:t>
      </w:r>
      <w:r w:rsidR="00A3230B">
        <w:t xml:space="preserve"> </w:t>
      </w:r>
      <w:r w:rsidRPr="00A3007A">
        <w:t xml:space="preserve">Hubert Reid, Simon Reid, </w:t>
      </w:r>
      <w:r w:rsidRPr="00A3007A">
        <w:rPr>
          <w:i/>
          <w:iCs/>
        </w:rPr>
        <w:t xml:space="preserve">Dictionnaire de droit québécois et canadien, </w:t>
      </w:r>
      <w:r w:rsidRPr="00A3007A">
        <w:t>6</w:t>
      </w:r>
      <w:r w:rsidRPr="00A3007A">
        <w:rPr>
          <w:vertAlign w:val="superscript"/>
        </w:rPr>
        <w:t>e</w:t>
      </w:r>
      <w:r w:rsidRPr="00A3007A">
        <w:t xml:space="preserve"> éd., Wilson Lafleur, Montréal, 2023, p. 695.</w:t>
      </w:r>
    </w:p>
  </w:footnote>
  <w:footnote w:id="12">
    <w:p w14:paraId="674500FA" w14:textId="77777777" w:rsidR="003E05D3" w:rsidRPr="00A3007A" w:rsidRDefault="003E05D3" w:rsidP="003E05D3">
      <w:pPr>
        <w:pStyle w:val="Notedebasdepage"/>
      </w:pPr>
      <w:r w:rsidRPr="00A3007A">
        <w:rPr>
          <w:rStyle w:val="Appelnotedebasdep"/>
        </w:rPr>
        <w:footnoteRef/>
      </w:r>
      <w:r w:rsidRPr="00A3007A">
        <w:t xml:space="preserve"> </w:t>
      </w:r>
      <w:r w:rsidRPr="00A3007A">
        <w:tab/>
        <w:t xml:space="preserve">Pierre-André Côté et Mathieu Devinat, </w:t>
      </w:r>
      <w:r w:rsidRPr="00A3007A">
        <w:rPr>
          <w:i/>
        </w:rPr>
        <w:t>Interprétation des lois</w:t>
      </w:r>
      <w:r w:rsidRPr="00A3007A">
        <w:t>, 5</w:t>
      </w:r>
      <w:r w:rsidRPr="00A3007A">
        <w:rPr>
          <w:vertAlign w:val="superscript"/>
        </w:rPr>
        <w:t>e</w:t>
      </w:r>
      <w:r w:rsidRPr="00A3007A">
        <w:t xml:space="preserve"> éd., Montréal, Les Éditions Thémis, 2021, paragr. 974-980.</w:t>
      </w:r>
    </w:p>
  </w:footnote>
  <w:footnote w:id="13">
    <w:p w14:paraId="5D436E1B" w14:textId="7027591D" w:rsidR="003E05D3" w:rsidRPr="00A3007A" w:rsidRDefault="003E05D3" w:rsidP="003E05D3">
      <w:pPr>
        <w:pStyle w:val="Notedebasdepage"/>
      </w:pPr>
      <w:r w:rsidRPr="00A3007A">
        <w:rPr>
          <w:rStyle w:val="Appelnotedebasdep"/>
        </w:rPr>
        <w:footnoteRef/>
      </w:r>
      <w:r w:rsidRPr="00A3007A">
        <w:t xml:space="preserve"> </w:t>
      </w:r>
      <w:r w:rsidRPr="00A3007A">
        <w:tab/>
        <w:t xml:space="preserve">L’analyse du </w:t>
      </w:r>
      <w:r w:rsidRPr="00A3007A">
        <w:rPr>
          <w:i/>
          <w:iCs/>
        </w:rPr>
        <w:t>Code de procédure civile</w:t>
      </w:r>
      <w:r w:rsidRPr="00A3007A">
        <w:t xml:space="preserve"> permet de constater que, lorsqu’il veut préciser le sens du mot « renseignement », le législateur le fait à même l’article où il l’emploie, voir par exemple, art. 283 </w:t>
      </w:r>
      <w:r w:rsidRPr="00A3007A">
        <w:rPr>
          <w:i/>
          <w:iCs/>
        </w:rPr>
        <w:t>C.p.c.</w:t>
      </w:r>
      <w:r w:rsidRPr="00A3007A">
        <w:t xml:space="preserve"> qui précise s’appliquer aux « renseignements » qui ont été « obtenus [par un fonctionnaire de l’État] dans l’exercice de ses fonctions dont la divulgation serait contraire à l’intérêt public</w:t>
      </w:r>
      <w:r w:rsidR="00A3230B">
        <w:t> </w:t>
      </w:r>
      <w:r w:rsidRPr="00A3007A">
        <w:t xml:space="preserve">». </w:t>
      </w:r>
    </w:p>
  </w:footnote>
  <w:footnote w:id="14">
    <w:p w14:paraId="7EE3E23D" w14:textId="77777777" w:rsidR="003E05D3" w:rsidRPr="00A3007A" w:rsidRDefault="003E05D3" w:rsidP="003E05D3">
      <w:pPr>
        <w:pStyle w:val="Notedebasdepage"/>
      </w:pPr>
      <w:r w:rsidRPr="00A3007A">
        <w:rPr>
          <w:rStyle w:val="Appelnotedebasdep"/>
        </w:rPr>
        <w:footnoteRef/>
      </w:r>
      <w:r w:rsidRPr="00A3007A">
        <w:t xml:space="preserve"> </w:t>
      </w:r>
      <w:r w:rsidRPr="00A3007A">
        <w:tab/>
        <w:t xml:space="preserve">Mémoire d’EBC, paragr. 28. </w:t>
      </w:r>
    </w:p>
  </w:footnote>
  <w:footnote w:id="15">
    <w:p w14:paraId="076B359A" w14:textId="78C3FD62" w:rsidR="003E05D3" w:rsidRPr="00A3007A" w:rsidRDefault="003E05D3" w:rsidP="003E05D3">
      <w:pPr>
        <w:pStyle w:val="Notedebasdepage"/>
      </w:pPr>
      <w:r w:rsidRPr="00A3007A">
        <w:rPr>
          <w:rStyle w:val="Appelnotedebasdep"/>
        </w:rPr>
        <w:footnoteRef/>
      </w:r>
      <w:r w:rsidRPr="00A3007A">
        <w:t xml:space="preserve"> </w:t>
      </w:r>
      <w:r w:rsidRPr="00A3007A">
        <w:tab/>
      </w:r>
      <w:r w:rsidR="00EA7EAE">
        <w:rPr>
          <w:i/>
          <w:iCs/>
        </w:rPr>
        <w:t>Ibid</w:t>
      </w:r>
      <w:r w:rsidRPr="00A3007A">
        <w:t>.</w:t>
      </w:r>
    </w:p>
  </w:footnote>
  <w:footnote w:id="16">
    <w:p w14:paraId="36F3F6BD"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MediaQMI</w:t>
      </w:r>
      <w:r w:rsidRPr="00A3007A">
        <w:t xml:space="preserve">, paragr. 99 (motifs dissidents, Wagner j.c.c. et Kasirer j., non contredits en cela par la majorité). </w:t>
      </w:r>
    </w:p>
  </w:footnote>
  <w:footnote w:id="17">
    <w:p w14:paraId="484D876D" w14:textId="156F9ADE"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3834310</w:t>
      </w:r>
      <w:r w:rsidRPr="00A3007A">
        <w:rPr>
          <w:i/>
        </w:rPr>
        <w:t xml:space="preserve"> Canada inc.</w:t>
      </w:r>
      <w:r w:rsidRPr="00A3007A">
        <w:t xml:space="preserve"> </w:t>
      </w:r>
      <w:r w:rsidRPr="00A3007A">
        <w:rPr>
          <w:i/>
          <w:iCs/>
        </w:rPr>
        <w:t>c.</w:t>
      </w:r>
      <w:r w:rsidRPr="00A3007A">
        <w:t xml:space="preserve"> </w:t>
      </w:r>
      <w:r w:rsidRPr="00A3007A">
        <w:rPr>
          <w:i/>
        </w:rPr>
        <w:t>R.C.</w:t>
      </w:r>
      <w:r w:rsidRPr="00A3007A">
        <w:t xml:space="preserve">, J.E. 2004-1501 (C.A.), paragr. 20. Sébastien Rochette et Maude Rivard, « Article 11 » dans Luc Chamberland dir., </w:t>
      </w:r>
      <w:r w:rsidRPr="00A3007A">
        <w:rPr>
          <w:i/>
        </w:rPr>
        <w:t>Le grand collectif : Code de procédure civil</w:t>
      </w:r>
      <w:r w:rsidR="00DF5EBC">
        <w:rPr>
          <w:i/>
        </w:rPr>
        <w:t>e :</w:t>
      </w:r>
      <w:r w:rsidRPr="00A3007A">
        <w:rPr>
          <w:i/>
        </w:rPr>
        <w:t xml:space="preserve"> commentaires et </w:t>
      </w:r>
      <w:r w:rsidRPr="00A3007A">
        <w:rPr>
          <w:i/>
          <w:iCs/>
        </w:rPr>
        <w:t>annotations</w:t>
      </w:r>
      <w:r w:rsidRPr="00A3007A">
        <w:t>, 9</w:t>
      </w:r>
      <w:r w:rsidRPr="00A3007A">
        <w:rPr>
          <w:vertAlign w:val="superscript"/>
        </w:rPr>
        <w:t>e</w:t>
      </w:r>
      <w:r w:rsidRPr="00A3007A">
        <w:t xml:space="preserve"> éd., vol. 1, Montréal, Yvon Blais, 2024, p. 89.</w:t>
      </w:r>
    </w:p>
  </w:footnote>
  <w:footnote w:id="18">
    <w:p w14:paraId="61514779"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rPr>
        <w:t>Société Radio-Canada</w:t>
      </w:r>
      <w:r w:rsidRPr="00A3007A">
        <w:t xml:space="preserve"> </w:t>
      </w:r>
      <w:r w:rsidRPr="00A3007A">
        <w:rPr>
          <w:i/>
          <w:iCs/>
        </w:rPr>
        <w:t>c</w:t>
      </w:r>
      <w:r w:rsidRPr="00A3007A">
        <w:t xml:space="preserve">. </w:t>
      </w:r>
      <w:r w:rsidRPr="00A3007A">
        <w:rPr>
          <w:i/>
        </w:rPr>
        <w:t xml:space="preserve">Personne </w:t>
      </w:r>
      <w:r w:rsidRPr="00A3007A">
        <w:rPr>
          <w:i/>
          <w:iCs/>
        </w:rPr>
        <w:t>désignée</w:t>
      </w:r>
      <w:r w:rsidRPr="00A3007A">
        <w:t>, 2024 CSC 21 [</w:t>
      </w:r>
      <w:r w:rsidRPr="00A3007A">
        <w:rPr>
          <w:i/>
          <w:iCs/>
        </w:rPr>
        <w:t>SRC c. Personne désignée</w:t>
      </w:r>
      <w:r w:rsidRPr="00A3007A">
        <w:t xml:space="preserve">], paragr. 27; </w:t>
      </w:r>
      <w:r w:rsidRPr="00A3007A">
        <w:rPr>
          <w:i/>
          <w:iCs/>
        </w:rPr>
        <w:t>Sherman</w:t>
      </w:r>
      <w:r w:rsidRPr="00A3007A">
        <w:rPr>
          <w:i/>
        </w:rPr>
        <w:t xml:space="preserve"> (Succession)</w:t>
      </w:r>
      <w:r w:rsidRPr="00A3007A">
        <w:t xml:space="preserve"> </w:t>
      </w:r>
      <w:r w:rsidRPr="00A3007A">
        <w:rPr>
          <w:i/>
          <w:iCs/>
        </w:rPr>
        <w:t>c</w:t>
      </w:r>
      <w:r w:rsidRPr="00A3007A">
        <w:t xml:space="preserve">. </w:t>
      </w:r>
      <w:r w:rsidRPr="00A3007A">
        <w:rPr>
          <w:i/>
          <w:iCs/>
        </w:rPr>
        <w:t>Donovan</w:t>
      </w:r>
      <w:r w:rsidRPr="00A3007A">
        <w:t>, 2021 CSC 25 [</w:t>
      </w:r>
      <w:r w:rsidRPr="00A3007A">
        <w:rPr>
          <w:i/>
          <w:iCs/>
        </w:rPr>
        <w:t>Sherman</w:t>
      </w:r>
      <w:r w:rsidRPr="00A3007A">
        <w:t xml:space="preserve">], paragr. 1 et 30; </w:t>
      </w:r>
      <w:r w:rsidRPr="00A3007A">
        <w:rPr>
          <w:i/>
        </w:rPr>
        <w:t>Société Radio-</w:t>
      </w:r>
      <w:r w:rsidRPr="00A3007A">
        <w:rPr>
          <w:i/>
          <w:iCs/>
        </w:rPr>
        <w:t>Canada</w:t>
      </w:r>
      <w:r w:rsidRPr="00A3007A">
        <w:t xml:space="preserve"> </w:t>
      </w:r>
      <w:r w:rsidRPr="00A3007A">
        <w:rPr>
          <w:i/>
          <w:iCs/>
        </w:rPr>
        <w:t>c</w:t>
      </w:r>
      <w:r w:rsidRPr="00A3007A">
        <w:t xml:space="preserve">. </w:t>
      </w:r>
      <w:r w:rsidRPr="00A3007A">
        <w:rPr>
          <w:i/>
        </w:rPr>
        <w:t>Canada (Procureur général)</w:t>
      </w:r>
      <w:r w:rsidRPr="00A3007A">
        <w:t>, 2011 CSC 2 [</w:t>
      </w:r>
      <w:r w:rsidRPr="00A3007A">
        <w:rPr>
          <w:i/>
          <w:iCs/>
        </w:rPr>
        <w:t>SRC c. PGC</w:t>
      </w:r>
      <w:r w:rsidRPr="00A3007A">
        <w:t xml:space="preserve">], paragr. 1 et 28-29; </w:t>
      </w:r>
      <w:r w:rsidRPr="00A3007A">
        <w:rPr>
          <w:i/>
          <w:iCs/>
        </w:rPr>
        <w:t>Personne désignée c.</w:t>
      </w:r>
      <w:r w:rsidRPr="00A3007A">
        <w:t xml:space="preserve"> </w:t>
      </w:r>
      <w:r w:rsidRPr="00A3007A">
        <w:rPr>
          <w:i/>
        </w:rPr>
        <w:t xml:space="preserve">Vancouver </w:t>
      </w:r>
      <w:r w:rsidRPr="00A3007A">
        <w:rPr>
          <w:i/>
          <w:iCs/>
        </w:rPr>
        <w:t>Sun</w:t>
      </w:r>
      <w:r w:rsidRPr="00A3007A">
        <w:t xml:space="preserve">, 2007 CSC 43, paragr. 31; </w:t>
      </w:r>
      <w:r w:rsidRPr="00A3007A">
        <w:rPr>
          <w:i/>
          <w:iCs/>
        </w:rPr>
        <w:t>Vancouver</w:t>
      </w:r>
      <w:r w:rsidRPr="00A3007A">
        <w:rPr>
          <w:i/>
        </w:rPr>
        <w:t xml:space="preserve"> Sun (Re)</w:t>
      </w:r>
      <w:r w:rsidRPr="00A3007A">
        <w:t>, 2004 CSC 43 [</w:t>
      </w:r>
      <w:r w:rsidRPr="00A3007A">
        <w:rPr>
          <w:i/>
          <w:iCs/>
        </w:rPr>
        <w:t>Vancouver Sun</w:t>
      </w:r>
      <w:r w:rsidRPr="00A3007A">
        <w:t xml:space="preserve">], paragr. 24; </w:t>
      </w:r>
      <w:r w:rsidRPr="00A3007A">
        <w:rPr>
          <w:i/>
        </w:rPr>
        <w:t>Société Radio-</w:t>
      </w:r>
      <w:r w:rsidRPr="00A3007A">
        <w:rPr>
          <w:i/>
          <w:iCs/>
        </w:rPr>
        <w:t>Canada c.</w:t>
      </w:r>
      <w:r w:rsidRPr="00A3007A">
        <w:t xml:space="preserve"> </w:t>
      </w:r>
      <w:r w:rsidRPr="00A3007A">
        <w:rPr>
          <w:i/>
        </w:rPr>
        <w:t>Nouveau-Brunswick (Procureur général)</w:t>
      </w:r>
      <w:r w:rsidRPr="00A3007A">
        <w:t>, [1996] 3 R.C.S. 480 [</w:t>
      </w:r>
      <w:r w:rsidRPr="00A3007A">
        <w:rPr>
          <w:i/>
          <w:iCs/>
        </w:rPr>
        <w:t>SRC</w:t>
      </w:r>
      <w:r w:rsidRPr="00A3007A">
        <w:t xml:space="preserve">], paragr. 21; </w:t>
      </w:r>
      <w:r w:rsidRPr="00A3007A">
        <w:rPr>
          <w:i/>
        </w:rPr>
        <w:t>Dagenais</w:t>
      </w:r>
      <w:r w:rsidRPr="00A3007A">
        <w:t xml:space="preserve"> </w:t>
      </w:r>
      <w:r w:rsidRPr="00A3007A">
        <w:rPr>
          <w:i/>
          <w:iCs/>
        </w:rPr>
        <w:t>c</w:t>
      </w:r>
      <w:r w:rsidRPr="00A3007A">
        <w:t xml:space="preserve">. </w:t>
      </w:r>
      <w:r w:rsidRPr="00A3007A">
        <w:rPr>
          <w:i/>
        </w:rPr>
        <w:t>Société Radio-Canada</w:t>
      </w:r>
      <w:r w:rsidRPr="00A3007A">
        <w:t>, [1994] 3 R.C.S. 835 [</w:t>
      </w:r>
      <w:r w:rsidRPr="00A3007A">
        <w:rPr>
          <w:i/>
          <w:iCs/>
        </w:rPr>
        <w:t>Dagenais</w:t>
      </w:r>
      <w:r w:rsidRPr="00A3007A">
        <w:t xml:space="preserve">], p. 875-878; </w:t>
      </w:r>
      <w:r w:rsidRPr="00A3007A">
        <w:rPr>
          <w:i/>
        </w:rPr>
        <w:t>Edmonton Journal</w:t>
      </w:r>
      <w:r w:rsidRPr="00A3007A">
        <w:t xml:space="preserve"> </w:t>
      </w:r>
      <w:r w:rsidRPr="00A3007A">
        <w:rPr>
          <w:i/>
          <w:iCs/>
        </w:rPr>
        <w:t>c.</w:t>
      </w:r>
      <w:r w:rsidRPr="00A3007A">
        <w:t xml:space="preserve"> </w:t>
      </w:r>
      <w:r w:rsidRPr="00A3007A">
        <w:rPr>
          <w:i/>
        </w:rPr>
        <w:t>Alberta (Procureur général)</w:t>
      </w:r>
      <w:r w:rsidRPr="00A3007A">
        <w:t>, [1989] 2 R.C.S. 1326 [</w:t>
      </w:r>
      <w:r w:rsidRPr="00A3007A">
        <w:rPr>
          <w:i/>
          <w:iCs/>
        </w:rPr>
        <w:t>Edmonton Journal</w:t>
      </w:r>
      <w:r w:rsidRPr="00A3007A">
        <w:t xml:space="preserve">], p. 1338; </w:t>
      </w:r>
      <w:r w:rsidRPr="00A3007A">
        <w:rPr>
          <w:i/>
        </w:rPr>
        <w:t>P.G. (Nouvelle-Écosse)</w:t>
      </w:r>
      <w:r w:rsidRPr="00A3007A">
        <w:t xml:space="preserve"> </w:t>
      </w:r>
      <w:r w:rsidRPr="00A3007A">
        <w:rPr>
          <w:i/>
          <w:iCs/>
        </w:rPr>
        <w:t>c.</w:t>
      </w:r>
      <w:r w:rsidRPr="00A3007A">
        <w:t xml:space="preserve"> </w:t>
      </w:r>
      <w:r w:rsidRPr="00A3007A">
        <w:rPr>
          <w:i/>
        </w:rPr>
        <w:t>MacIntyre</w:t>
      </w:r>
      <w:r w:rsidRPr="00A3007A">
        <w:t>, [1982] 1 R.C.S. 175 [</w:t>
      </w:r>
      <w:r w:rsidRPr="00A3007A">
        <w:rPr>
          <w:i/>
          <w:iCs/>
        </w:rPr>
        <w:t>MacIntyre</w:t>
      </w:r>
      <w:r w:rsidRPr="00A3007A">
        <w:t>], p. 183-187.</w:t>
      </w:r>
    </w:p>
  </w:footnote>
  <w:footnote w:id="19">
    <w:p w14:paraId="062FD5DC" w14:textId="6F6CC1CA" w:rsidR="003E05D3" w:rsidRPr="00A3007A" w:rsidRDefault="003E05D3" w:rsidP="003E05D3">
      <w:pPr>
        <w:pStyle w:val="Notedebasdepage"/>
      </w:pPr>
      <w:r w:rsidRPr="00A3007A">
        <w:rPr>
          <w:rStyle w:val="Appelnotedebasdep"/>
        </w:rPr>
        <w:footnoteRef/>
      </w:r>
      <w:r w:rsidRPr="00A3007A">
        <w:t xml:space="preserve"> </w:t>
      </w:r>
      <w:r w:rsidRPr="00A3007A">
        <w:tab/>
        <w:t>Voir</w:t>
      </w:r>
      <w:r w:rsidR="00A3230B">
        <w:t xml:space="preserve"> </w:t>
      </w:r>
      <w:r w:rsidRPr="00A3007A">
        <w:t xml:space="preserve">notamment </w:t>
      </w:r>
      <w:r w:rsidRPr="00A3007A">
        <w:rPr>
          <w:i/>
        </w:rPr>
        <w:t>A.B. c. Google</w:t>
      </w:r>
      <w:r w:rsidRPr="00A3007A">
        <w:t>, 2026 QCCA 157 [</w:t>
      </w:r>
      <w:r w:rsidRPr="00A3007A">
        <w:rPr>
          <w:i/>
          <w:iCs/>
        </w:rPr>
        <w:t>Google</w:t>
      </w:r>
      <w:r w:rsidRPr="00A3007A">
        <w:t xml:space="preserve">], paragr. 126-127; </w:t>
      </w:r>
      <w:r w:rsidRPr="00A3007A">
        <w:rPr>
          <w:i/>
        </w:rPr>
        <w:t>Édifice 500 Grande-Allée Est inc.</w:t>
      </w:r>
      <w:r w:rsidRPr="00A3007A">
        <w:t xml:space="preserve"> </w:t>
      </w:r>
      <w:r w:rsidRPr="00A3007A">
        <w:rPr>
          <w:i/>
          <w:iCs/>
        </w:rPr>
        <w:t>c.</w:t>
      </w:r>
      <w:r w:rsidRPr="00A3007A">
        <w:t xml:space="preserve"> </w:t>
      </w:r>
      <w:r w:rsidRPr="00A3007A">
        <w:rPr>
          <w:i/>
        </w:rPr>
        <w:t xml:space="preserve">Procureur général du </w:t>
      </w:r>
      <w:r w:rsidRPr="00A3007A">
        <w:rPr>
          <w:i/>
          <w:iCs/>
        </w:rPr>
        <w:t>Québec</w:t>
      </w:r>
      <w:r w:rsidRPr="00A3007A">
        <w:t xml:space="preserve">, 2024 QCCA 1287, paragr. 65-66; </w:t>
      </w:r>
      <w:r w:rsidRPr="00A3007A">
        <w:rPr>
          <w:i/>
        </w:rPr>
        <w:t>S. c. Lamontagne</w:t>
      </w:r>
      <w:r w:rsidRPr="00A3007A">
        <w:t xml:space="preserve">, 2020 QCCA 663, paragr. 10-22. </w:t>
      </w:r>
    </w:p>
  </w:footnote>
  <w:footnote w:id="20">
    <w:p w14:paraId="742C17C9"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MacIntyre</w:t>
      </w:r>
      <w:r w:rsidRPr="00A3007A">
        <w:t>, p. 183.</w:t>
      </w:r>
    </w:p>
  </w:footnote>
  <w:footnote w:id="21">
    <w:p w14:paraId="5A996311" w14:textId="379FECAC" w:rsidR="003E05D3" w:rsidRPr="00A3007A" w:rsidRDefault="003E05D3" w:rsidP="003E05D3">
      <w:pPr>
        <w:pStyle w:val="Notedebasdepage"/>
        <w:rPr>
          <w:lang w:val="en-CA"/>
        </w:rPr>
      </w:pPr>
      <w:r w:rsidRPr="00A3007A">
        <w:rPr>
          <w:rStyle w:val="Appelnotedebasdep"/>
        </w:rPr>
        <w:footnoteRef/>
      </w:r>
      <w:r w:rsidRPr="00A3007A">
        <w:t xml:space="preserve"> </w:t>
      </w:r>
      <w:r w:rsidRPr="00A3007A">
        <w:tab/>
      </w:r>
      <w:r w:rsidRPr="00A3007A">
        <w:rPr>
          <w:i/>
          <w:iCs/>
        </w:rPr>
        <w:t>Vancouver Sun</w:t>
      </w:r>
      <w:r w:rsidRPr="00A3007A">
        <w:t xml:space="preserve">, paragr. </w:t>
      </w:r>
      <w:r w:rsidRPr="00A3007A">
        <w:rPr>
          <w:lang w:val="en-CA"/>
        </w:rPr>
        <w:t>24, citant également J. H. Burton, dir.,</w:t>
      </w:r>
      <w:r w:rsidR="00A3230B">
        <w:rPr>
          <w:lang w:val="en-CA"/>
        </w:rPr>
        <w:t xml:space="preserve"> </w:t>
      </w:r>
      <w:r w:rsidRPr="00A3007A">
        <w:rPr>
          <w:i/>
          <w:iCs/>
          <w:lang w:val="en-CA"/>
        </w:rPr>
        <w:t>Benthamiana</w:t>
      </w:r>
      <w:r w:rsidR="00A3230B">
        <w:rPr>
          <w:i/>
          <w:iCs/>
          <w:lang w:val="en-CA"/>
        </w:rPr>
        <w:t> </w:t>
      </w:r>
      <w:r w:rsidRPr="00A3007A">
        <w:rPr>
          <w:i/>
          <w:iCs/>
          <w:lang w:val="en-CA"/>
        </w:rPr>
        <w:t>: Or, Select Extracts from the Works of Jeremy Bentham</w:t>
      </w:r>
      <w:r w:rsidR="00A3230B">
        <w:rPr>
          <w:lang w:val="en-CA"/>
        </w:rPr>
        <w:t xml:space="preserve"> </w:t>
      </w:r>
      <w:r w:rsidRPr="00A3007A">
        <w:rPr>
          <w:lang w:val="en-CA"/>
        </w:rPr>
        <w:t xml:space="preserve">(1843), p. 115. </w:t>
      </w:r>
    </w:p>
  </w:footnote>
  <w:footnote w:id="22">
    <w:p w14:paraId="497A767D" w14:textId="3C0ECC84"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rPr>
        <w:t>SRC c. Personne désignée</w:t>
      </w:r>
      <w:r w:rsidRPr="00A3007A">
        <w:t xml:space="preserve">, paragr. 27; </w:t>
      </w:r>
      <w:r w:rsidRPr="00A3007A">
        <w:rPr>
          <w:i/>
        </w:rPr>
        <w:t>Sherman</w:t>
      </w:r>
      <w:r w:rsidRPr="00A3007A">
        <w:t>, paragr. 1 et 30; Canada</w:t>
      </w:r>
      <w:r w:rsidRPr="00A3007A">
        <w:rPr>
          <w:i/>
        </w:rPr>
        <w:t xml:space="preserve"> (Citoyenneté et Immigration)</w:t>
      </w:r>
      <w:r w:rsidRPr="00A3007A">
        <w:t xml:space="preserve"> </w:t>
      </w:r>
      <w:r w:rsidRPr="00A3007A">
        <w:rPr>
          <w:i/>
          <w:iCs/>
        </w:rPr>
        <w:t>c.</w:t>
      </w:r>
      <w:r w:rsidRPr="00A3007A">
        <w:t xml:space="preserve"> </w:t>
      </w:r>
      <w:r w:rsidRPr="00A3007A">
        <w:rPr>
          <w:i/>
        </w:rPr>
        <w:t>Harkat</w:t>
      </w:r>
      <w:r w:rsidRPr="00A3007A">
        <w:t xml:space="preserve">, 2014 CSC 37, paragr. 24; </w:t>
      </w:r>
      <w:r w:rsidRPr="00A3007A">
        <w:rPr>
          <w:i/>
        </w:rPr>
        <w:t>Vancouver</w:t>
      </w:r>
      <w:r w:rsidRPr="00A3007A">
        <w:rPr>
          <w:i/>
          <w:iCs/>
        </w:rPr>
        <w:t xml:space="preserve"> Sun</w:t>
      </w:r>
      <w:r w:rsidRPr="00A3007A">
        <w:t>, par</w:t>
      </w:r>
      <w:r w:rsidR="00A3230B">
        <w:t>agr</w:t>
      </w:r>
      <w:r w:rsidRPr="00A3007A">
        <w:t>. 23.</w:t>
      </w:r>
    </w:p>
  </w:footnote>
  <w:footnote w:id="23">
    <w:p w14:paraId="7A208827"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rPr>
        <w:t>SRC c. Personne désignée</w:t>
      </w:r>
      <w:r w:rsidRPr="00A3007A">
        <w:t xml:space="preserve">, paragr. </w:t>
      </w:r>
      <w:r w:rsidRPr="00E4052E">
        <w:t xml:space="preserve">29; </w:t>
      </w:r>
      <w:r w:rsidRPr="00E4052E">
        <w:rPr>
          <w:i/>
          <w:iCs/>
        </w:rPr>
        <w:t>Sherman</w:t>
      </w:r>
      <w:r w:rsidRPr="00E4052E">
        <w:t xml:space="preserve">, paragr. </w:t>
      </w:r>
      <w:r w:rsidRPr="00A3007A">
        <w:rPr>
          <w:lang w:val="en-US"/>
        </w:rPr>
        <w:t xml:space="preserve">39; </w:t>
      </w:r>
      <w:r w:rsidRPr="00A3007A">
        <w:rPr>
          <w:i/>
          <w:iCs/>
          <w:lang w:val="en-US"/>
        </w:rPr>
        <w:t>SRC c. PGC</w:t>
      </w:r>
      <w:r w:rsidRPr="00A3007A">
        <w:rPr>
          <w:lang w:val="en-US"/>
        </w:rPr>
        <w:t xml:space="preserve">, 2011 CSC 2, paragr. </w:t>
      </w:r>
      <w:r w:rsidRPr="00A3007A">
        <w:rPr>
          <w:lang w:val="en-CA"/>
        </w:rPr>
        <w:t xml:space="preserve">28; </w:t>
      </w:r>
      <w:r w:rsidRPr="00A3007A">
        <w:rPr>
          <w:i/>
          <w:iCs/>
          <w:lang w:val="en-CA"/>
        </w:rPr>
        <w:t>Toronto Star Newspapers Ltd. c. Canada</w:t>
      </w:r>
      <w:r w:rsidRPr="00A3007A">
        <w:rPr>
          <w:lang w:val="en-CA"/>
        </w:rPr>
        <w:t xml:space="preserve">, 2010 CSC 21, paragr. </w:t>
      </w:r>
      <w:r w:rsidRPr="00E4052E">
        <w:t xml:space="preserve">1; </w:t>
      </w:r>
      <w:r w:rsidRPr="00E4052E">
        <w:rPr>
          <w:i/>
          <w:iCs/>
        </w:rPr>
        <w:t>Vancouver Sun</w:t>
      </w:r>
      <w:r w:rsidRPr="00E4052E">
        <w:t xml:space="preserve">, paragr. </w:t>
      </w:r>
      <w:r w:rsidRPr="00A3007A">
        <w:t xml:space="preserve">23-26; SRC, paragr. 22; </w:t>
      </w:r>
      <w:r w:rsidRPr="00A3007A">
        <w:rPr>
          <w:i/>
        </w:rPr>
        <w:t>MacIntyre</w:t>
      </w:r>
      <w:r w:rsidRPr="00A3007A">
        <w:t xml:space="preserve">, p. 185. </w:t>
      </w:r>
    </w:p>
  </w:footnote>
  <w:footnote w:id="24">
    <w:p w14:paraId="4D142BD7" w14:textId="022202E1" w:rsidR="003E05D3" w:rsidRPr="00A3007A" w:rsidRDefault="003E05D3" w:rsidP="003E05D3">
      <w:pPr>
        <w:pStyle w:val="Notedebasdepage"/>
      </w:pPr>
      <w:r w:rsidRPr="00A3007A">
        <w:rPr>
          <w:rStyle w:val="Appelnotedebasdep"/>
        </w:rPr>
        <w:footnoteRef/>
      </w:r>
      <w:r w:rsidRPr="00A3007A">
        <w:t xml:space="preserve"> </w:t>
      </w:r>
      <w:r w:rsidRPr="00A3007A">
        <w:tab/>
        <w:t>Art. 2 b)</w:t>
      </w:r>
      <w:r w:rsidR="00A3230B">
        <w:t> </w:t>
      </w:r>
      <w:r w:rsidRPr="00A3007A">
        <w:rPr>
          <w:i/>
        </w:rPr>
        <w:t>Charte canadienne des droits et libertés</w:t>
      </w:r>
      <w:r w:rsidRPr="00A3007A">
        <w:t xml:space="preserve">, partie I de la </w:t>
      </w:r>
      <w:r w:rsidRPr="00A3007A">
        <w:rPr>
          <w:i/>
        </w:rPr>
        <w:t>Loi constitutionnelle de 1982</w:t>
      </w:r>
      <w:r w:rsidRPr="00A3007A">
        <w:t xml:space="preserve"> [annexe B de la </w:t>
      </w:r>
      <w:r w:rsidRPr="00A3007A">
        <w:rPr>
          <w:i/>
        </w:rPr>
        <w:t>Loi de 1982 sur le Canada</w:t>
      </w:r>
      <w:r w:rsidRPr="00A3007A">
        <w:t xml:space="preserve">, 1982, c.11 (R.-U.)]. Voir également art. 3 de la </w:t>
      </w:r>
      <w:r w:rsidRPr="00A3007A">
        <w:rPr>
          <w:i/>
          <w:iCs/>
        </w:rPr>
        <w:t>Charte québécoise</w:t>
      </w:r>
      <w:r w:rsidRPr="00A3007A">
        <w:t xml:space="preserve">. À ce sujet, voir </w:t>
      </w:r>
      <w:r w:rsidRPr="00A3007A">
        <w:rPr>
          <w:i/>
        </w:rPr>
        <w:t>SRC c. Personne désignée</w:t>
      </w:r>
      <w:r w:rsidRPr="00A3007A">
        <w:t xml:space="preserve">, paragr. 27; </w:t>
      </w:r>
      <w:r w:rsidRPr="00A3007A">
        <w:rPr>
          <w:i/>
        </w:rPr>
        <w:t>Sherman</w:t>
      </w:r>
      <w:r w:rsidRPr="00A3007A">
        <w:t xml:space="preserve">, paragr. 1, 30 et 39; </w:t>
      </w:r>
      <w:r w:rsidRPr="00A3007A">
        <w:rPr>
          <w:i/>
          <w:iCs/>
        </w:rPr>
        <w:t>Vancouver Sun</w:t>
      </w:r>
      <w:r w:rsidRPr="00A3007A">
        <w:t xml:space="preserve">, paragr. 23-26; </w:t>
      </w:r>
      <w:r w:rsidRPr="00A3007A">
        <w:rPr>
          <w:i/>
          <w:iCs/>
        </w:rPr>
        <w:t>SRC</w:t>
      </w:r>
      <w:r w:rsidRPr="00A3007A">
        <w:t xml:space="preserve">, paragr. 23; </w:t>
      </w:r>
      <w:r w:rsidRPr="00A3007A">
        <w:rPr>
          <w:i/>
          <w:iCs/>
        </w:rPr>
        <w:t>Dagenais</w:t>
      </w:r>
      <w:r w:rsidRPr="00A3007A">
        <w:t xml:space="preserve">, p. 876-877; </w:t>
      </w:r>
      <w:r w:rsidRPr="00A3007A">
        <w:rPr>
          <w:i/>
          <w:iCs/>
        </w:rPr>
        <w:t>Edmonton Journal</w:t>
      </w:r>
      <w:r w:rsidRPr="00A3007A">
        <w:t xml:space="preserve">, p. 1339-1340.  </w:t>
      </w:r>
    </w:p>
  </w:footnote>
  <w:footnote w:id="25">
    <w:p w14:paraId="19E2B1B2"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Sherman</w:t>
      </w:r>
      <w:r w:rsidRPr="00A3007A">
        <w:t xml:space="preserve">, paragr. 2, 30 et 37. Voir également </w:t>
      </w:r>
      <w:r w:rsidRPr="00A3007A">
        <w:rPr>
          <w:i/>
        </w:rPr>
        <w:t>A.B.</w:t>
      </w:r>
      <w:r w:rsidRPr="00A3007A">
        <w:t xml:space="preserve"> c. </w:t>
      </w:r>
      <w:r w:rsidRPr="00A3007A">
        <w:rPr>
          <w:i/>
        </w:rPr>
        <w:t>Bragg Communications Inc.</w:t>
      </w:r>
      <w:r w:rsidRPr="00A3007A">
        <w:t>, 2012 CSC 46 [</w:t>
      </w:r>
      <w:r w:rsidRPr="00A3007A">
        <w:rPr>
          <w:i/>
          <w:iCs/>
        </w:rPr>
        <w:t>Bragg Communications</w:t>
      </w:r>
      <w:r w:rsidRPr="00A3007A">
        <w:t xml:space="preserve">], paragr. 11; </w:t>
      </w:r>
      <w:r w:rsidRPr="00A3007A">
        <w:rPr>
          <w:i/>
          <w:iCs/>
        </w:rPr>
        <w:t>MacIntyre</w:t>
      </w:r>
      <w:r w:rsidRPr="00A3007A">
        <w:t xml:space="preserve">, p. 189. </w:t>
      </w:r>
    </w:p>
  </w:footnote>
  <w:footnote w:id="26">
    <w:p w14:paraId="28C7C44B" w14:textId="25A55949"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rPr>
        <w:t>Édifice 500 Grande-Allée Est inc. c</w:t>
      </w:r>
      <w:r w:rsidRPr="00A3007A">
        <w:t xml:space="preserve">. </w:t>
      </w:r>
      <w:r w:rsidRPr="00A3007A">
        <w:rPr>
          <w:i/>
        </w:rPr>
        <w:t>Procureur général du Québec</w:t>
      </w:r>
      <w:r w:rsidRPr="00A3007A">
        <w:t>, 2024 QCCA 1287, paragr. 65 [renvoi omis]. Voir également</w:t>
      </w:r>
      <w:r w:rsidR="00A3230B">
        <w:t xml:space="preserve"> </w:t>
      </w:r>
      <w:r w:rsidRPr="00A3007A">
        <w:rPr>
          <w:i/>
        </w:rPr>
        <w:t xml:space="preserve">SRC </w:t>
      </w:r>
      <w:r w:rsidRPr="00A3007A">
        <w:rPr>
          <w:i/>
          <w:iCs/>
        </w:rPr>
        <w:t>c.</w:t>
      </w:r>
      <w:r w:rsidRPr="00A3007A">
        <w:t xml:space="preserve"> </w:t>
      </w:r>
      <w:r w:rsidRPr="00A3007A">
        <w:rPr>
          <w:i/>
        </w:rPr>
        <w:t xml:space="preserve">Personne </w:t>
      </w:r>
      <w:r w:rsidRPr="00A3007A">
        <w:rPr>
          <w:i/>
          <w:iCs/>
        </w:rPr>
        <w:t>désignée</w:t>
      </w:r>
      <w:r w:rsidRPr="00A3007A">
        <w:t xml:space="preserve">, paragr. 31; </w:t>
      </w:r>
      <w:r w:rsidRPr="00A3007A">
        <w:rPr>
          <w:i/>
          <w:iCs/>
        </w:rPr>
        <w:t>Sherman</w:t>
      </w:r>
      <w:r w:rsidRPr="00A3007A">
        <w:t xml:space="preserve">, paragr. 30; </w:t>
      </w:r>
      <w:r w:rsidRPr="00A3007A">
        <w:rPr>
          <w:i/>
        </w:rPr>
        <w:t>Google</w:t>
      </w:r>
      <w:r w:rsidRPr="00A3007A">
        <w:t>, paragr.</w:t>
      </w:r>
      <w:r w:rsidR="00A3230B">
        <w:t> </w:t>
      </w:r>
      <w:r w:rsidRPr="00A3007A">
        <w:t>127.</w:t>
      </w:r>
    </w:p>
  </w:footnote>
  <w:footnote w:id="27">
    <w:p w14:paraId="12C247CB"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Vancouver Sun</w:t>
      </w:r>
      <w:r w:rsidRPr="00A3007A">
        <w:t xml:space="preserve">, paragr. 31; </w:t>
      </w:r>
      <w:r w:rsidRPr="00A3007A">
        <w:rPr>
          <w:i/>
          <w:iCs/>
        </w:rPr>
        <w:t>Dagenais</w:t>
      </w:r>
      <w:r w:rsidRPr="00A3007A">
        <w:t xml:space="preserve">, p. 875. </w:t>
      </w:r>
    </w:p>
  </w:footnote>
  <w:footnote w:id="28">
    <w:p w14:paraId="2AA344A4" w14:textId="77777777" w:rsidR="00ED501C" w:rsidRPr="00A3007A" w:rsidRDefault="00ED501C" w:rsidP="00ED501C">
      <w:pPr>
        <w:pStyle w:val="Notedebasdepage"/>
      </w:pPr>
      <w:r w:rsidRPr="00A3007A">
        <w:rPr>
          <w:rStyle w:val="Appelnotedebasdep"/>
        </w:rPr>
        <w:footnoteRef/>
      </w:r>
      <w:r w:rsidRPr="00A3007A">
        <w:t xml:space="preserve"> </w:t>
      </w:r>
      <w:r w:rsidRPr="00A3007A">
        <w:tab/>
      </w:r>
      <w:r w:rsidRPr="00A3007A">
        <w:rPr>
          <w:i/>
        </w:rPr>
        <w:t>Google</w:t>
      </w:r>
      <w:r w:rsidRPr="00A3007A">
        <w:t xml:space="preserve">, paragr. 126; </w:t>
      </w:r>
      <w:r w:rsidRPr="00A3007A">
        <w:rPr>
          <w:i/>
        </w:rPr>
        <w:t>Air Canada c. Choquette</w:t>
      </w:r>
      <w:r w:rsidRPr="00A3007A">
        <w:t xml:space="preserve">, 2024 QCCA 1355, paragr. 14-18; </w:t>
      </w:r>
      <w:r w:rsidRPr="00A3007A">
        <w:rPr>
          <w:i/>
        </w:rPr>
        <w:t>Graceffa c. Otéra Capital Holdings Inc.</w:t>
      </w:r>
      <w:r w:rsidRPr="00A3007A">
        <w:t xml:space="preserve">, 2024 QCCA 531, paragr. 6 et 7; </w:t>
      </w:r>
      <w:r w:rsidRPr="00A3007A">
        <w:rPr>
          <w:i/>
        </w:rPr>
        <w:t>A.B.</w:t>
      </w:r>
      <w:r w:rsidRPr="00A3007A">
        <w:t xml:space="preserve"> </w:t>
      </w:r>
      <w:r w:rsidRPr="00FD2201">
        <w:rPr>
          <w:i/>
          <w:iCs/>
        </w:rPr>
        <w:t>c.</w:t>
      </w:r>
      <w:r w:rsidRPr="00A3007A">
        <w:t xml:space="preserve"> </w:t>
      </w:r>
      <w:r w:rsidRPr="00DF5EBC">
        <w:rPr>
          <w:i/>
          <w:iCs/>
        </w:rPr>
        <w:t>Robillard</w:t>
      </w:r>
      <w:r w:rsidRPr="00A3007A">
        <w:t>, 2022 QCCA 959, paragr. 19</w:t>
      </w:r>
      <w:r>
        <w:noBreakHyphen/>
      </w:r>
      <w:r w:rsidRPr="00A3007A">
        <w:t xml:space="preserve">21; </w:t>
      </w:r>
      <w:r w:rsidRPr="00A3007A">
        <w:rPr>
          <w:i/>
          <w:iCs/>
        </w:rPr>
        <w:t>J.C. c. Douville</w:t>
      </w:r>
      <w:r w:rsidRPr="00A3007A">
        <w:t xml:space="preserve">, 2022 QCCA 958, paragr. 26-29; </w:t>
      </w:r>
      <w:r w:rsidRPr="00A3007A">
        <w:rPr>
          <w:i/>
          <w:iCs/>
        </w:rPr>
        <w:t>Dis Son Nom c. Marquis</w:t>
      </w:r>
      <w:r w:rsidRPr="00A3007A">
        <w:t>, 2022 QCCA 841, paragr.</w:t>
      </w:r>
      <w:r>
        <w:t> </w:t>
      </w:r>
      <w:r w:rsidRPr="00A3007A">
        <w:t>49</w:t>
      </w:r>
      <w:r>
        <w:noBreakHyphen/>
      </w:r>
      <w:r w:rsidRPr="00A3007A">
        <w:t xml:space="preserve">54; </w:t>
      </w:r>
      <w:r w:rsidRPr="00A3007A">
        <w:rPr>
          <w:i/>
          <w:iCs/>
        </w:rPr>
        <w:t>S. c.</w:t>
      </w:r>
      <w:r w:rsidRPr="00A3007A">
        <w:t xml:space="preserve"> </w:t>
      </w:r>
      <w:r w:rsidRPr="00A3007A">
        <w:rPr>
          <w:i/>
        </w:rPr>
        <w:t>Lamontagne</w:t>
      </w:r>
      <w:r w:rsidRPr="00A3007A">
        <w:t xml:space="preserve">, 2020 QCCA 663, paragr. 10 et 30. </w:t>
      </w:r>
    </w:p>
  </w:footnote>
  <w:footnote w:id="29">
    <w:p w14:paraId="4248E25B" w14:textId="77777777" w:rsidR="003E05D3" w:rsidRPr="002A1750" w:rsidRDefault="003E05D3" w:rsidP="003E05D3">
      <w:pPr>
        <w:pStyle w:val="Notedebasdepage"/>
      </w:pPr>
      <w:r w:rsidRPr="00A3007A">
        <w:rPr>
          <w:rStyle w:val="Appelnotedebasdep"/>
        </w:rPr>
        <w:footnoteRef/>
      </w:r>
      <w:r w:rsidRPr="002A1750">
        <w:t xml:space="preserve"> </w:t>
      </w:r>
      <w:r w:rsidRPr="002A1750">
        <w:tab/>
      </w:r>
      <w:r w:rsidRPr="002A1750">
        <w:rPr>
          <w:i/>
        </w:rPr>
        <w:t>R.</w:t>
      </w:r>
      <w:r w:rsidRPr="002A1750">
        <w:t xml:space="preserve"> c. </w:t>
      </w:r>
      <w:r w:rsidRPr="002A1750">
        <w:rPr>
          <w:i/>
        </w:rPr>
        <w:t>Mentuck</w:t>
      </w:r>
      <w:r w:rsidRPr="002A1750">
        <w:t>, 2001 CSC 76 [Mentuck].</w:t>
      </w:r>
    </w:p>
  </w:footnote>
  <w:footnote w:id="30">
    <w:p w14:paraId="01208BF6"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 xml:space="preserve">Sierra Club </w:t>
      </w:r>
      <w:r w:rsidRPr="00A3007A">
        <w:rPr>
          <w:i/>
        </w:rPr>
        <w:t xml:space="preserve">du </w:t>
      </w:r>
      <w:r w:rsidRPr="00A3007A">
        <w:t xml:space="preserve">Canada </w:t>
      </w:r>
      <w:r w:rsidRPr="00FD2201">
        <w:rPr>
          <w:i/>
          <w:iCs/>
        </w:rPr>
        <w:t>c.</w:t>
      </w:r>
      <w:r w:rsidRPr="00A3007A">
        <w:t xml:space="preserve"> </w:t>
      </w:r>
      <w:r w:rsidRPr="00A3007A">
        <w:rPr>
          <w:i/>
        </w:rPr>
        <w:t>Canada (Ministre des Finances)</w:t>
      </w:r>
      <w:r w:rsidRPr="00A3007A">
        <w:t>, 2002 CSC 41 [Sierra Club].</w:t>
      </w:r>
    </w:p>
  </w:footnote>
  <w:footnote w:id="31">
    <w:p w14:paraId="7744716C"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Sherman</w:t>
      </w:r>
      <w:r w:rsidRPr="00A3007A">
        <w:t>, paragr. 38.</w:t>
      </w:r>
    </w:p>
  </w:footnote>
  <w:footnote w:id="32">
    <w:p w14:paraId="17C02BF5" w14:textId="10323564" w:rsidR="003E05D3" w:rsidRPr="00A3007A" w:rsidRDefault="003E05D3" w:rsidP="003E05D3">
      <w:pPr>
        <w:pStyle w:val="Notedebasdepage"/>
      </w:pPr>
      <w:r w:rsidRPr="00A3007A">
        <w:rPr>
          <w:rStyle w:val="Appelnotedebasdep"/>
        </w:rPr>
        <w:footnoteRef/>
      </w:r>
      <w:r w:rsidRPr="00A3007A">
        <w:t xml:space="preserve"> </w:t>
      </w:r>
      <w:r w:rsidRPr="00A3007A">
        <w:tab/>
      </w:r>
      <w:r w:rsidR="00A3230B">
        <w:rPr>
          <w:i/>
          <w:iCs/>
        </w:rPr>
        <w:t>Id.</w:t>
      </w:r>
      <w:r w:rsidRPr="00A3007A">
        <w:t>, paragr. 3. Voir également</w:t>
      </w:r>
      <w:r w:rsidR="00ED501C">
        <w:t xml:space="preserve"> le</w:t>
      </w:r>
      <w:r w:rsidRPr="00A3007A">
        <w:t xml:space="preserve"> paragr. 30. </w:t>
      </w:r>
    </w:p>
  </w:footnote>
  <w:footnote w:id="33">
    <w:p w14:paraId="426302E3"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Sherman</w:t>
      </w:r>
      <w:r w:rsidRPr="00A3007A">
        <w:t xml:space="preserve">, paragr. 3 et 34. </w:t>
      </w:r>
    </w:p>
  </w:footnote>
  <w:footnote w:id="34">
    <w:p w14:paraId="6B7290BC" w14:textId="0DDBD7D0" w:rsidR="003E05D3" w:rsidRPr="00A3007A" w:rsidRDefault="003E05D3" w:rsidP="003E05D3">
      <w:pPr>
        <w:pStyle w:val="Notedebasdepage"/>
      </w:pPr>
      <w:r w:rsidRPr="00A3007A">
        <w:rPr>
          <w:rStyle w:val="Appelnotedebasdep"/>
        </w:rPr>
        <w:footnoteRef/>
      </w:r>
      <w:r w:rsidRPr="00A3007A">
        <w:t xml:space="preserve"> </w:t>
      </w:r>
      <w:r w:rsidRPr="00A3007A">
        <w:tab/>
      </w:r>
      <w:r w:rsidR="00A3230B">
        <w:rPr>
          <w:i/>
          <w:iCs/>
        </w:rPr>
        <w:t>Id.</w:t>
      </w:r>
      <w:r w:rsidRPr="00A3007A">
        <w:t xml:space="preserve">, paragr. 38. </w:t>
      </w:r>
    </w:p>
  </w:footnote>
  <w:footnote w:id="35">
    <w:p w14:paraId="25276712"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Sierra Club</w:t>
      </w:r>
      <w:r w:rsidRPr="00A3007A">
        <w:t>, paragr. 53.</w:t>
      </w:r>
    </w:p>
  </w:footnote>
  <w:footnote w:id="36">
    <w:p w14:paraId="73A9F13B" w14:textId="16A6B332" w:rsidR="003E05D3" w:rsidRPr="00A3007A" w:rsidRDefault="003E05D3" w:rsidP="003E05D3">
      <w:pPr>
        <w:pStyle w:val="Notedebasdepage"/>
      </w:pPr>
      <w:r w:rsidRPr="00A3007A">
        <w:rPr>
          <w:rStyle w:val="Appelnotedebasdep"/>
        </w:rPr>
        <w:footnoteRef/>
      </w:r>
      <w:r w:rsidRPr="00A3007A">
        <w:t xml:space="preserve"> </w:t>
      </w:r>
      <w:r w:rsidRPr="00A3007A">
        <w:tab/>
      </w:r>
      <w:r w:rsidR="00A3230B">
        <w:rPr>
          <w:i/>
          <w:iCs/>
        </w:rPr>
        <w:t>Id.</w:t>
      </w:r>
      <w:r w:rsidRPr="00A3007A">
        <w:t>, paragr. 55. Voir également</w:t>
      </w:r>
      <w:r w:rsidR="00A3230B">
        <w:t xml:space="preserve"> </w:t>
      </w:r>
      <w:r w:rsidRPr="00A3007A">
        <w:rPr>
          <w:i/>
          <w:iCs/>
        </w:rPr>
        <w:t>F.N. (Re)</w:t>
      </w:r>
      <w:r w:rsidRPr="00A3007A">
        <w:t>,</w:t>
      </w:r>
      <w:r w:rsidR="00A3230B">
        <w:rPr>
          <w:i/>
          <w:iCs/>
        </w:rPr>
        <w:t xml:space="preserve"> </w:t>
      </w:r>
      <w:r w:rsidRPr="00A3007A">
        <w:t>2000 CSC 35, paragr. 10, où le juge Binnie souligne que la publicité des débats judiciaires ne cèdera le pas que « dans les cas où le droit</w:t>
      </w:r>
      <w:r w:rsidR="00A3230B">
        <w:t xml:space="preserve"> </w:t>
      </w:r>
      <w:r w:rsidRPr="00A3007A">
        <w:rPr>
          <w:u w:val="single"/>
        </w:rPr>
        <w:t>du public</w:t>
      </w:r>
      <w:r w:rsidR="00A3230B">
        <w:t xml:space="preserve"> </w:t>
      </w:r>
      <w:r w:rsidRPr="00A3007A">
        <w:t xml:space="preserve">à la confidentialité l’emporte sur le droit du public à l’accessibilité » [soulignement ajouté]. </w:t>
      </w:r>
    </w:p>
  </w:footnote>
  <w:footnote w:id="37">
    <w:p w14:paraId="59986083" w14:textId="14353A24"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Sierra Club</w:t>
      </w:r>
      <w:r w:rsidRPr="00A3007A">
        <w:t>, paragr. 56. Voir également</w:t>
      </w:r>
      <w:r w:rsidR="00A3230B">
        <w:t xml:space="preserve"> </w:t>
      </w:r>
      <w:r w:rsidRPr="00A3007A">
        <w:rPr>
          <w:i/>
          <w:iCs/>
        </w:rPr>
        <w:t>Sherman</w:t>
      </w:r>
      <w:r w:rsidRPr="00A3007A">
        <w:t>, paragr. 42.</w:t>
      </w:r>
    </w:p>
  </w:footnote>
  <w:footnote w:id="38">
    <w:p w14:paraId="45BB7A00" w14:textId="59043AAA"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Dagenais</w:t>
      </w:r>
      <w:r w:rsidRPr="00A3007A">
        <w:t>, p. 876. Voir également</w:t>
      </w:r>
      <w:r w:rsidR="00A3230B">
        <w:t xml:space="preserve"> </w:t>
      </w:r>
      <w:r w:rsidRPr="00A3007A">
        <w:rPr>
          <w:i/>
          <w:iCs/>
        </w:rPr>
        <w:t>Sherman</w:t>
      </w:r>
      <w:r w:rsidRPr="00A3007A">
        <w:t xml:space="preserve">, paragr. 35 et 102; </w:t>
      </w:r>
      <w:r w:rsidRPr="00A3007A">
        <w:rPr>
          <w:i/>
          <w:iCs/>
        </w:rPr>
        <w:t>Sierra Club</w:t>
      </w:r>
      <w:r w:rsidRPr="00A3007A">
        <w:t>, paragr. 54.</w:t>
      </w:r>
    </w:p>
  </w:footnote>
  <w:footnote w:id="39">
    <w:p w14:paraId="444427DE" w14:textId="11001D32"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rPr>
        <w:t>Bragg Communications</w:t>
      </w:r>
      <w:r w:rsidRPr="00A3007A">
        <w:t>, parag</w:t>
      </w:r>
      <w:r w:rsidR="00C83064">
        <w:t>r.</w:t>
      </w:r>
      <w:r w:rsidRPr="00A3007A">
        <w:t xml:space="preserve"> 15-16.</w:t>
      </w:r>
    </w:p>
  </w:footnote>
  <w:footnote w:id="40">
    <w:p w14:paraId="05BA4FA3"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Sherman</w:t>
      </w:r>
      <w:r w:rsidRPr="00A3007A">
        <w:t>, paragr. 97.</w:t>
      </w:r>
    </w:p>
  </w:footnote>
  <w:footnote w:id="41">
    <w:p w14:paraId="578DC77A" w14:textId="77777777" w:rsidR="003E05D3" w:rsidRPr="00A3007A" w:rsidRDefault="003E05D3" w:rsidP="003E05D3">
      <w:pPr>
        <w:pStyle w:val="Notedebasdepage"/>
      </w:pPr>
      <w:r w:rsidRPr="00A3007A">
        <w:rPr>
          <w:rStyle w:val="Appelnotedebasdep"/>
        </w:rPr>
        <w:footnoteRef/>
      </w:r>
      <w:r w:rsidRPr="00A3007A">
        <w:t xml:space="preserve"> </w:t>
      </w:r>
      <w:r w:rsidRPr="00A3007A">
        <w:tab/>
        <w:t xml:space="preserve">Jugement entrepris, paragr. 25. </w:t>
      </w:r>
    </w:p>
  </w:footnote>
  <w:footnote w:id="42">
    <w:p w14:paraId="752A740D" w14:textId="70A3222A"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rPr>
        <w:t>Double N Earthmovers Ltd.</w:t>
      </w:r>
      <w:r w:rsidRPr="00A3007A">
        <w:t xml:space="preserve"> </w:t>
      </w:r>
      <w:r w:rsidRPr="00A3007A">
        <w:rPr>
          <w:i/>
          <w:iCs/>
        </w:rPr>
        <w:t>c.</w:t>
      </w:r>
      <w:r w:rsidRPr="00A3007A">
        <w:t xml:space="preserve"> </w:t>
      </w:r>
      <w:r w:rsidRPr="00A3007A">
        <w:rPr>
          <w:i/>
        </w:rPr>
        <w:t>Edmonton (Ville)</w:t>
      </w:r>
      <w:r w:rsidRPr="00A3007A">
        <w:t xml:space="preserve">, 2007 CSC 3, paragr. 32 et 52; </w:t>
      </w:r>
      <w:r w:rsidRPr="00A3007A">
        <w:rPr>
          <w:i/>
        </w:rPr>
        <w:t>Martel Building Ltd.</w:t>
      </w:r>
      <w:r w:rsidRPr="00A3007A">
        <w:t xml:space="preserve"> </w:t>
      </w:r>
      <w:r w:rsidRPr="00A3007A">
        <w:rPr>
          <w:i/>
          <w:iCs/>
        </w:rPr>
        <w:t>c.</w:t>
      </w:r>
      <w:r w:rsidRPr="00A3007A">
        <w:t xml:space="preserve"> </w:t>
      </w:r>
      <w:r w:rsidRPr="00A3007A">
        <w:rPr>
          <w:i/>
        </w:rPr>
        <w:t>Canada</w:t>
      </w:r>
      <w:r w:rsidRPr="00A3007A">
        <w:t xml:space="preserve">, 2000 CSC 60, paragr. 88, 92 et 116; </w:t>
      </w:r>
      <w:r w:rsidRPr="00A3007A">
        <w:rPr>
          <w:i/>
        </w:rPr>
        <w:t>Ville de Montréal</w:t>
      </w:r>
      <w:r w:rsidRPr="00A3007A">
        <w:t xml:space="preserve"> </w:t>
      </w:r>
      <w:r w:rsidRPr="00A3007A">
        <w:rPr>
          <w:i/>
          <w:iCs/>
        </w:rPr>
        <w:t>c.</w:t>
      </w:r>
      <w:r w:rsidRPr="00A3007A">
        <w:t xml:space="preserve"> </w:t>
      </w:r>
      <w:r w:rsidRPr="00A3007A">
        <w:rPr>
          <w:i/>
        </w:rPr>
        <w:t>9150-2732 Québec inc.</w:t>
      </w:r>
      <w:r w:rsidRPr="00A3007A">
        <w:t>, 2023 QCCA 567, paragr. 34, demande d’autorisation d’appel à la Cour suprême rejetée, 14 décembre 2023, n</w:t>
      </w:r>
      <w:r w:rsidRPr="00A3007A">
        <w:rPr>
          <w:vertAlign w:val="superscript"/>
        </w:rPr>
        <w:t>o</w:t>
      </w:r>
      <w:r w:rsidRPr="00A3007A">
        <w:t> 40797. Desjardins, L., Forrest, A., Lafond-Chrétien, C., Rivard, K. et Royer, M., « Organismes publics et municipaux</w:t>
      </w:r>
      <w:r w:rsidR="00A3230B">
        <w:t> </w:t>
      </w:r>
      <w:r w:rsidRPr="00A3007A">
        <w:t>: défenseurs de première ligne en intégrité contractuelle », Formation continue du Barreau - Développements récents (2024), p. 5.</w:t>
      </w:r>
    </w:p>
  </w:footnote>
  <w:footnote w:id="43">
    <w:p w14:paraId="78B303AA" w14:textId="6416B7A1" w:rsidR="003E05D3" w:rsidRPr="00A3007A" w:rsidRDefault="003E05D3" w:rsidP="003E05D3">
      <w:pPr>
        <w:pStyle w:val="Notedebasdepage"/>
      </w:pPr>
      <w:r w:rsidRPr="00A3007A">
        <w:rPr>
          <w:rStyle w:val="Appelnotedebasdep"/>
        </w:rPr>
        <w:footnoteRef/>
      </w:r>
      <w:r w:rsidRPr="00A3007A">
        <w:t xml:space="preserve"> </w:t>
      </w:r>
      <w:r w:rsidRPr="00A3007A">
        <w:tab/>
        <w:t>Demande de la Ville pour scinder et suspendre l’instance, daté</w:t>
      </w:r>
      <w:r w:rsidR="00C83064">
        <w:t>e</w:t>
      </w:r>
      <w:r w:rsidRPr="00A3007A">
        <w:t xml:space="preserve"> du 13 février 2025, paragr. 11 [</w:t>
      </w:r>
      <w:r w:rsidRPr="00A3007A">
        <w:rPr>
          <w:i/>
          <w:iCs/>
        </w:rPr>
        <w:t>Demande de scission</w:t>
      </w:r>
      <w:r w:rsidRPr="00A3007A">
        <w:t>], paragr. 13.</w:t>
      </w:r>
    </w:p>
  </w:footnote>
  <w:footnote w:id="44">
    <w:p w14:paraId="06A09529" w14:textId="77777777" w:rsidR="003E05D3" w:rsidRPr="00A3007A" w:rsidRDefault="003E05D3" w:rsidP="003E05D3">
      <w:pPr>
        <w:pStyle w:val="Notedebasdepage"/>
      </w:pPr>
      <w:r w:rsidRPr="00A3007A">
        <w:rPr>
          <w:rStyle w:val="Appelnotedebasdep"/>
        </w:rPr>
        <w:footnoteRef/>
      </w:r>
      <w:r w:rsidRPr="00A3007A">
        <w:t xml:space="preserve"> </w:t>
      </w:r>
      <w:r w:rsidRPr="00A3007A">
        <w:tab/>
        <w:t xml:space="preserve">Jugement entrepris, paragr. 26. </w:t>
      </w:r>
    </w:p>
  </w:footnote>
  <w:footnote w:id="45">
    <w:p w14:paraId="5986F7DF" w14:textId="77777777" w:rsidR="003E05D3" w:rsidRPr="00A3007A" w:rsidRDefault="003E05D3" w:rsidP="003E05D3">
      <w:pPr>
        <w:pStyle w:val="Notedebasdepage"/>
      </w:pPr>
      <w:r w:rsidRPr="00A3007A">
        <w:rPr>
          <w:rStyle w:val="Appelnotedebasdep"/>
        </w:rPr>
        <w:footnoteRef/>
      </w:r>
      <w:r w:rsidRPr="00A3007A">
        <w:t xml:space="preserve"> </w:t>
      </w:r>
      <w:r w:rsidRPr="00A3007A">
        <w:tab/>
        <w:t>Mémoire d’EBC, paragr. 37.</w:t>
      </w:r>
    </w:p>
  </w:footnote>
  <w:footnote w:id="46">
    <w:p w14:paraId="29E005C6" w14:textId="77777777" w:rsidR="003E05D3" w:rsidRPr="00A3007A" w:rsidRDefault="003E05D3" w:rsidP="003E05D3">
      <w:pPr>
        <w:pStyle w:val="Notedebasdepage"/>
        <w:rPr>
          <w:lang w:val="en-CA"/>
        </w:rPr>
      </w:pPr>
      <w:r w:rsidRPr="00A3007A">
        <w:rPr>
          <w:rStyle w:val="Appelnotedebasdep"/>
        </w:rPr>
        <w:footnoteRef/>
      </w:r>
      <w:r w:rsidRPr="00A3007A">
        <w:t xml:space="preserve"> </w:t>
      </w:r>
      <w:r w:rsidRPr="00A3007A">
        <w:tab/>
      </w:r>
      <w:r w:rsidRPr="00ED501C">
        <w:rPr>
          <w:i/>
        </w:rPr>
        <w:t>Air Canada c. Choquette</w:t>
      </w:r>
      <w:r w:rsidRPr="00A3007A">
        <w:t xml:space="preserve">, 2024 QCCA 1355, paragr. 14-23; </w:t>
      </w:r>
      <w:r w:rsidRPr="00A3007A">
        <w:rPr>
          <w:i/>
          <w:iCs/>
        </w:rPr>
        <w:t>Sirius Services conseils en technologie de l’information inc. c. Boisvert</w:t>
      </w:r>
      <w:r w:rsidRPr="00A3007A">
        <w:t xml:space="preserve">, 2017 QCCA 518, paragr. </w:t>
      </w:r>
      <w:r w:rsidRPr="00A3007A">
        <w:rPr>
          <w:lang w:val="en-CA"/>
        </w:rPr>
        <w:t xml:space="preserve">2. </w:t>
      </w:r>
    </w:p>
  </w:footnote>
  <w:footnote w:id="47">
    <w:p w14:paraId="124A35A7" w14:textId="141BC80C" w:rsidR="003E05D3" w:rsidRPr="00A3007A" w:rsidRDefault="003E05D3" w:rsidP="003E05D3">
      <w:pPr>
        <w:pStyle w:val="Notedebasdepage"/>
      </w:pPr>
      <w:r w:rsidRPr="00A3007A">
        <w:rPr>
          <w:rStyle w:val="Appelnotedebasdep"/>
        </w:rPr>
        <w:footnoteRef/>
      </w:r>
      <w:r w:rsidRPr="00A3007A">
        <w:rPr>
          <w:lang w:val="en-CA"/>
        </w:rPr>
        <w:t xml:space="preserve"> </w:t>
      </w:r>
      <w:r w:rsidRPr="00A3007A">
        <w:rPr>
          <w:lang w:val="en-CA"/>
        </w:rPr>
        <w:tab/>
        <w:t xml:space="preserve">En ce sens, l’arrêt </w:t>
      </w:r>
      <w:r w:rsidRPr="00A3007A">
        <w:rPr>
          <w:i/>
          <w:iCs/>
          <w:lang w:val="en-CA"/>
        </w:rPr>
        <w:t>Resolve Business Outsourcing Income Fund v. Canadian Financial Wellness Group Inc.</w:t>
      </w:r>
      <w:r w:rsidRPr="00A3007A">
        <w:rPr>
          <w:lang w:val="en-CA"/>
        </w:rPr>
        <w:t xml:space="preserve">, 2014 NSCA 98, paragr. </w:t>
      </w:r>
      <w:r w:rsidRPr="00A3007A">
        <w:t>35, se distingue puisque le processus d’appel d’offres « was anticipated in the immediate future ». J’ajoute que</w:t>
      </w:r>
      <w:r w:rsidR="00C83064">
        <w:t>,</w:t>
      </w:r>
      <w:r w:rsidRPr="00A3007A">
        <w:t xml:space="preserve"> dans cet arrêt, l’ordonnance visait à garder confidentiels quelques 600 documents, dont des « training and systems manuals and scripts » contenant des informations protégées par la propriété intellectuelle dont le contenu permettrait aux compétiteurs de déterminer la « recipe for success », voir paragr. 2, 11, 13-14. </w:t>
      </w:r>
    </w:p>
  </w:footnote>
  <w:footnote w:id="48">
    <w:p w14:paraId="43F90E66" w14:textId="77777777" w:rsidR="003E05D3" w:rsidRPr="00A3007A" w:rsidRDefault="003E05D3" w:rsidP="003E05D3">
      <w:pPr>
        <w:pStyle w:val="Notedebasdepage"/>
      </w:pPr>
      <w:r w:rsidRPr="00A3007A">
        <w:rPr>
          <w:rStyle w:val="Appelnotedebasdep"/>
        </w:rPr>
        <w:footnoteRef/>
      </w:r>
      <w:r w:rsidRPr="00A3007A">
        <w:t xml:space="preserve"> </w:t>
      </w:r>
      <w:r w:rsidRPr="00A3007A">
        <w:tab/>
        <w:t>Mémoire de la Ville, paragr. 40</w:t>
      </w:r>
    </w:p>
  </w:footnote>
  <w:footnote w:id="49">
    <w:p w14:paraId="44AA4AE0"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Sierra Club</w:t>
      </w:r>
      <w:r w:rsidRPr="00A3007A">
        <w:t>, paragr. 55. Voir également </w:t>
      </w:r>
      <w:r w:rsidRPr="00A3007A">
        <w:rPr>
          <w:i/>
        </w:rPr>
        <w:t>Graceffa</w:t>
      </w:r>
      <w:r w:rsidRPr="00A3007A">
        <w:t xml:space="preserve"> </w:t>
      </w:r>
      <w:r w:rsidRPr="00A3007A">
        <w:rPr>
          <w:i/>
          <w:iCs/>
        </w:rPr>
        <w:t>c.</w:t>
      </w:r>
      <w:r w:rsidRPr="00A3007A">
        <w:t xml:space="preserve"> </w:t>
      </w:r>
      <w:r w:rsidRPr="00A3007A">
        <w:rPr>
          <w:i/>
        </w:rPr>
        <w:t>Otéra Capital Holdings Inc.</w:t>
      </w:r>
      <w:r w:rsidRPr="00A3007A">
        <w:t xml:space="preserve">, 2024 QCCA 531, paragr. 7-8 et 11; </w:t>
      </w:r>
      <w:r w:rsidRPr="00A3007A">
        <w:rPr>
          <w:i/>
          <w:iCs/>
        </w:rPr>
        <w:t>Imperial Tobacco Canada Ltd. c. Conseil québécois sur le tabac et la santé</w:t>
      </w:r>
      <w:r w:rsidRPr="00A3007A">
        <w:t>, 2015 QCCA 1224, paragr. 23-27.</w:t>
      </w:r>
    </w:p>
  </w:footnote>
  <w:footnote w:id="50">
    <w:p w14:paraId="54075BD3" w14:textId="77777777" w:rsidR="003E05D3" w:rsidRPr="00A3007A" w:rsidRDefault="003E05D3" w:rsidP="003E05D3">
      <w:pPr>
        <w:pStyle w:val="Notedebasdepage"/>
      </w:pPr>
      <w:r w:rsidRPr="00A3007A">
        <w:rPr>
          <w:rStyle w:val="Appelnotedebasdep"/>
        </w:rPr>
        <w:footnoteRef/>
      </w:r>
      <w:r w:rsidRPr="00A3007A">
        <w:t xml:space="preserve"> </w:t>
      </w:r>
      <w:r w:rsidRPr="00A3007A">
        <w:tab/>
        <w:t>Demande de scission, paragr. 14.</w:t>
      </w:r>
    </w:p>
  </w:footnote>
  <w:footnote w:id="51">
    <w:p w14:paraId="395A8F6F" w14:textId="77777777" w:rsidR="003E05D3" w:rsidRPr="00A3007A" w:rsidRDefault="003E05D3" w:rsidP="003E05D3">
      <w:pPr>
        <w:pStyle w:val="Notedebasdepage"/>
      </w:pPr>
      <w:r w:rsidRPr="00A3007A">
        <w:rPr>
          <w:rStyle w:val="Appelnotedebasdep"/>
        </w:rPr>
        <w:footnoteRef/>
      </w:r>
      <w:r w:rsidRPr="00A3007A">
        <w:t xml:space="preserve"> </w:t>
      </w:r>
      <w:r w:rsidRPr="00A3007A">
        <w:tab/>
        <w:t xml:space="preserve">Mémoire d’EBC, paragr. 37. </w:t>
      </w:r>
    </w:p>
  </w:footnote>
  <w:footnote w:id="52">
    <w:p w14:paraId="623D70BC" w14:textId="77777777" w:rsidR="003E05D3" w:rsidRPr="00A3007A" w:rsidRDefault="003E05D3" w:rsidP="003E05D3">
      <w:pPr>
        <w:pStyle w:val="Notedebasdepage"/>
      </w:pPr>
      <w:r w:rsidRPr="00A3007A">
        <w:rPr>
          <w:rStyle w:val="Appelnotedebasdep"/>
        </w:rPr>
        <w:footnoteRef/>
      </w:r>
      <w:r w:rsidRPr="00E4052E">
        <w:t xml:space="preserve"> </w:t>
      </w:r>
      <w:r w:rsidRPr="00E4052E">
        <w:tab/>
      </w:r>
      <w:r w:rsidRPr="00E4052E">
        <w:rPr>
          <w:i/>
        </w:rPr>
        <w:t>Toronto Star Newspapers Ltd.</w:t>
      </w:r>
      <w:r w:rsidRPr="00E4052E">
        <w:t xml:space="preserve"> </w:t>
      </w:r>
      <w:r w:rsidRPr="00E4052E">
        <w:rPr>
          <w:i/>
          <w:iCs/>
        </w:rPr>
        <w:t>c.</w:t>
      </w:r>
      <w:r w:rsidRPr="00E4052E">
        <w:t xml:space="preserve"> </w:t>
      </w:r>
      <w:r w:rsidRPr="00E4052E">
        <w:rPr>
          <w:i/>
        </w:rPr>
        <w:t>Ontario</w:t>
      </w:r>
      <w:r w:rsidRPr="00E4052E">
        <w:t xml:space="preserve">, 2005 CSC 41. </w:t>
      </w:r>
      <w:r w:rsidRPr="00A3007A">
        <w:t xml:space="preserve">Voir également </w:t>
      </w:r>
      <w:r w:rsidRPr="00A3007A">
        <w:rPr>
          <w:i/>
        </w:rPr>
        <w:t>L.B.</w:t>
      </w:r>
      <w:r w:rsidRPr="00A3007A">
        <w:t xml:space="preserve"> </w:t>
      </w:r>
      <w:r w:rsidRPr="00EC2F92">
        <w:rPr>
          <w:i/>
          <w:iCs/>
        </w:rPr>
        <w:t>c.</w:t>
      </w:r>
      <w:r w:rsidRPr="00A3007A">
        <w:t xml:space="preserve"> </w:t>
      </w:r>
      <w:r w:rsidRPr="00A3007A">
        <w:rPr>
          <w:i/>
        </w:rPr>
        <w:t>J.S.</w:t>
      </w:r>
      <w:r w:rsidRPr="00A3007A">
        <w:t xml:space="preserve">, 2021 QCCA 1593, paragr. 10-13. </w:t>
      </w:r>
    </w:p>
  </w:footnote>
  <w:footnote w:id="53">
    <w:p w14:paraId="6A1ACD36"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Sherman</w:t>
      </w:r>
      <w:r w:rsidRPr="00A3007A">
        <w:t>, paragr. 99.</w:t>
      </w:r>
    </w:p>
  </w:footnote>
  <w:footnote w:id="54">
    <w:p w14:paraId="213F868E"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Dagenais</w:t>
      </w:r>
      <w:r w:rsidRPr="00A3007A">
        <w:t xml:space="preserve">, p. 889. </w:t>
      </w:r>
    </w:p>
  </w:footnote>
  <w:footnote w:id="55">
    <w:p w14:paraId="1D19CBAE"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Mentuck</w:t>
      </w:r>
      <w:r w:rsidRPr="00A3007A">
        <w:t>, paragr. 50 et 51.</w:t>
      </w:r>
    </w:p>
  </w:footnote>
  <w:footnote w:id="56">
    <w:p w14:paraId="01A7A0BD"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 xml:space="preserve">Sierra Club, </w:t>
      </w:r>
      <w:r w:rsidRPr="00A3007A">
        <w:t xml:space="preserve">paragr. 75. Je rappelle que la Cour suprême établit dans l’arrêt </w:t>
      </w:r>
      <w:r w:rsidRPr="00A3007A">
        <w:rPr>
          <w:i/>
          <w:iCs/>
        </w:rPr>
        <w:t>Irwin Toy Ltd. c. Québec (Procureur général)</w:t>
      </w:r>
      <w:r w:rsidRPr="00A3007A">
        <w:t>, [1989] 1 R.C.S. 927, p. 976, que les valeurs qui sous-tendent la liberté d’expression sont : (1) la recherche de la vérité et du bien commun; (2) l’épanouissement personnel par le développement d’une pensée critique; et (3) la participation au processus politique et au débat public.</w:t>
      </w:r>
    </w:p>
  </w:footnote>
  <w:footnote w:id="57">
    <w:p w14:paraId="16CE33ED"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Sierra Club.</w:t>
      </w:r>
    </w:p>
  </w:footnote>
  <w:footnote w:id="58">
    <w:p w14:paraId="7FAAC697" w14:textId="77777777" w:rsidR="003E05D3" w:rsidRPr="00A3007A" w:rsidRDefault="003E05D3" w:rsidP="003E05D3">
      <w:pPr>
        <w:pStyle w:val="Notedebasdepage"/>
      </w:pPr>
      <w:r w:rsidRPr="00A3007A">
        <w:rPr>
          <w:rStyle w:val="Appelnotedebasdep"/>
        </w:rPr>
        <w:footnoteRef/>
      </w:r>
      <w:r w:rsidRPr="00A3007A">
        <w:t xml:space="preserve"> </w:t>
      </w:r>
      <w:r w:rsidRPr="00A3007A">
        <w:tab/>
      </w:r>
      <w:r w:rsidRPr="00A3007A">
        <w:rPr>
          <w:i/>
          <w:iCs/>
        </w:rPr>
        <w:t>Sherman</w:t>
      </w:r>
      <w:r w:rsidRPr="00A3007A">
        <w:t>, paragr. 106.</w:t>
      </w:r>
    </w:p>
  </w:footnote>
  <w:footnote w:id="59">
    <w:p w14:paraId="55917CBD" w14:textId="77777777" w:rsidR="003E05D3" w:rsidRPr="00D233E0" w:rsidRDefault="003E05D3" w:rsidP="003E05D3">
      <w:pPr>
        <w:pStyle w:val="Notedebasdepage"/>
      </w:pPr>
      <w:r w:rsidRPr="00A3007A">
        <w:rPr>
          <w:rStyle w:val="Appelnotedebasdep"/>
        </w:rPr>
        <w:footnoteRef/>
      </w:r>
      <w:r w:rsidRPr="00A3007A">
        <w:t xml:space="preserve"> </w:t>
      </w:r>
      <w:r w:rsidRPr="00A3007A">
        <w:tab/>
        <w:t xml:space="preserve">Par analogie, voir </w:t>
      </w:r>
      <w:r w:rsidRPr="00A3007A">
        <w:rPr>
          <w:i/>
        </w:rPr>
        <w:t>Sierra Club</w:t>
      </w:r>
      <w:r w:rsidRPr="00A3007A">
        <w:t xml:space="preserve">, paragr. paragr. 83-86; </w:t>
      </w:r>
      <w:r w:rsidRPr="00A3007A">
        <w:rPr>
          <w:i/>
          <w:iCs/>
        </w:rPr>
        <w:t>Globe</w:t>
      </w:r>
      <w:r w:rsidRPr="00A3007A">
        <w:rPr>
          <w:i/>
        </w:rPr>
        <w:t xml:space="preserve"> and Mail</w:t>
      </w:r>
      <w:r w:rsidRPr="00A3007A">
        <w:t xml:space="preserve"> </w:t>
      </w:r>
      <w:r w:rsidRPr="00A3007A">
        <w:rPr>
          <w:i/>
          <w:iCs/>
        </w:rPr>
        <w:t>c.</w:t>
      </w:r>
      <w:r w:rsidRPr="00A3007A">
        <w:t xml:space="preserve"> </w:t>
      </w:r>
      <w:r w:rsidRPr="00A3007A">
        <w:rPr>
          <w:i/>
        </w:rPr>
        <w:t>Canada (Procureur général)</w:t>
      </w:r>
      <w:r w:rsidRPr="00A3007A">
        <w:t>, 2010 CSC 41, paragr. 47.</w:t>
      </w:r>
      <w:r>
        <w:t xml:space="preserve"> </w:t>
      </w:r>
    </w:p>
  </w:footnote>
  <w:footnote w:id="60">
    <w:p w14:paraId="7B1F9656" w14:textId="77777777" w:rsidR="002C58A4" w:rsidRPr="003B3E2E" w:rsidRDefault="002C58A4" w:rsidP="002C58A4">
      <w:pPr>
        <w:pStyle w:val="Notedebasdepage"/>
      </w:pPr>
      <w:r w:rsidRPr="003B3E2E">
        <w:rPr>
          <w:rStyle w:val="Appelnotedebasdep"/>
        </w:rPr>
        <w:footnoteRef/>
      </w:r>
      <w:r w:rsidRPr="003B3E2E">
        <w:t xml:space="preserve">  </w:t>
      </w:r>
      <w:r w:rsidRPr="003B3E2E">
        <w:tab/>
        <w:t>Qu’elle admet excéder 100 000 $.</w:t>
      </w:r>
    </w:p>
  </w:footnote>
  <w:footnote w:id="61">
    <w:p w14:paraId="05D76AF7" w14:textId="77777777" w:rsidR="002C58A4" w:rsidRPr="003B3E2E" w:rsidRDefault="002C58A4" w:rsidP="002C58A4">
      <w:pPr>
        <w:pStyle w:val="Notedebasdepage"/>
      </w:pPr>
      <w:r w:rsidRPr="003B3E2E">
        <w:rPr>
          <w:rStyle w:val="Appelnotedebasdep"/>
        </w:rPr>
        <w:footnoteRef/>
      </w:r>
      <w:r w:rsidRPr="003B3E2E">
        <w:t xml:space="preserve">  </w:t>
      </w:r>
      <w:r w:rsidRPr="003B3E2E">
        <w:tab/>
      </w:r>
      <w:r w:rsidRPr="003B3E2E">
        <w:rPr>
          <w:i/>
          <w:iCs/>
        </w:rPr>
        <w:t>EBC inc. c. Ville de Montréal</w:t>
      </w:r>
      <w:r w:rsidRPr="003B3E2E">
        <w:t>, 2025 QCCS 503 (jugement entrepris).</w:t>
      </w:r>
    </w:p>
  </w:footnote>
  <w:footnote w:id="62">
    <w:p w14:paraId="342F33D0" w14:textId="1FE7870E" w:rsidR="002C58A4" w:rsidRPr="003B3E2E" w:rsidRDefault="002C58A4" w:rsidP="002C58A4">
      <w:pPr>
        <w:pStyle w:val="Notedebasdepage"/>
      </w:pPr>
      <w:r w:rsidRPr="003B3E2E">
        <w:rPr>
          <w:rStyle w:val="Appelnotedebasdep"/>
        </w:rPr>
        <w:footnoteRef/>
      </w:r>
      <w:r w:rsidRPr="003B3E2E">
        <w:t xml:space="preserve">  </w:t>
      </w:r>
      <w:r w:rsidRPr="003B3E2E">
        <w:tab/>
        <w:t xml:space="preserve">Jugement entrepris, </w:t>
      </w:r>
      <w:r w:rsidRPr="003B3E2E">
        <w:rPr>
          <w:i/>
          <w:iCs/>
        </w:rPr>
        <w:t>supra</w:t>
      </w:r>
      <w:r w:rsidRPr="003B3E2E">
        <w:t xml:space="preserve">, note </w:t>
      </w:r>
      <w:r w:rsidRPr="003B3E2E">
        <w:fldChar w:fldCharType="begin"/>
      </w:r>
      <w:r w:rsidRPr="003B3E2E">
        <w:instrText xml:space="preserve"> NOTEREF _Ref224127274 \h  \* MERGEFORMAT </w:instrText>
      </w:r>
      <w:r w:rsidRPr="003B3E2E">
        <w:fldChar w:fldCharType="separate"/>
      </w:r>
      <w:r w:rsidR="00ED3853">
        <w:t>61</w:t>
      </w:r>
      <w:r w:rsidRPr="003B3E2E">
        <w:fldChar w:fldCharType="end"/>
      </w:r>
      <w:r w:rsidRPr="003B3E2E">
        <w:t>, paragr. 33.</w:t>
      </w:r>
    </w:p>
  </w:footnote>
  <w:footnote w:id="63">
    <w:p w14:paraId="11E3813E" w14:textId="77777777" w:rsidR="002C58A4" w:rsidRPr="003B3E2E" w:rsidRDefault="002C58A4" w:rsidP="002C58A4">
      <w:pPr>
        <w:pStyle w:val="Notedebasdepage"/>
      </w:pPr>
      <w:r w:rsidRPr="003B3E2E">
        <w:rPr>
          <w:rStyle w:val="Appelnotedebasdep"/>
        </w:rPr>
        <w:footnoteRef/>
      </w:r>
      <w:r w:rsidRPr="002A1750">
        <w:t xml:space="preserve">  </w:t>
      </w:r>
      <w:r w:rsidRPr="002A1750">
        <w:tab/>
      </w:r>
      <w:r w:rsidRPr="002A1750">
        <w:rPr>
          <w:i/>
          <w:iCs/>
        </w:rPr>
        <w:t>Sherman (Succession) c. Donovan</w:t>
      </w:r>
      <w:r w:rsidRPr="002A1750">
        <w:t xml:space="preserve">, 2021 CSC 25, paragr. </w:t>
      </w:r>
      <w:r w:rsidRPr="003B3E2E">
        <w:t>38 (</w:t>
      </w:r>
      <w:r w:rsidRPr="003B3E2E">
        <w:rPr>
          <w:i/>
          <w:iCs/>
        </w:rPr>
        <w:t>Sherman</w:t>
      </w:r>
      <w:r w:rsidRPr="003B3E2E">
        <w:t>);</w:t>
      </w:r>
      <w:r w:rsidRPr="003B3E2E">
        <w:rPr>
          <w:i/>
          <w:iCs/>
        </w:rPr>
        <w:t xml:space="preserve"> Sierra Club du Canada c. Canada (Ministre des Finances)</w:t>
      </w:r>
      <w:r w:rsidRPr="003B3E2E">
        <w:t>, 2002 CSC 41, paragr. 53-55 (</w:t>
      </w:r>
      <w:r w:rsidRPr="003B3E2E">
        <w:rPr>
          <w:i/>
          <w:iCs/>
        </w:rPr>
        <w:t>Sierra Club</w:t>
      </w:r>
      <w:r w:rsidRPr="003B3E2E">
        <w:t>).</w:t>
      </w:r>
    </w:p>
  </w:footnote>
  <w:footnote w:id="64">
    <w:p w14:paraId="5FE1D05C" w14:textId="77777777" w:rsidR="002C58A4" w:rsidRPr="003B3E2E" w:rsidRDefault="002C58A4" w:rsidP="002C58A4">
      <w:pPr>
        <w:pStyle w:val="Notedebasdepage"/>
      </w:pPr>
      <w:r w:rsidRPr="003B3E2E">
        <w:rPr>
          <w:rStyle w:val="Appelnotedebasdep"/>
        </w:rPr>
        <w:footnoteRef/>
      </w:r>
      <w:r w:rsidRPr="003B3E2E">
        <w:t xml:space="preserve">  </w:t>
      </w:r>
      <w:r w:rsidRPr="003B3E2E">
        <w:tab/>
        <w:t xml:space="preserve">Voir l’article 12 </w:t>
      </w:r>
      <w:r w:rsidRPr="003B3E2E">
        <w:rPr>
          <w:i/>
          <w:iCs/>
        </w:rPr>
        <w:t>C.p.c.</w:t>
      </w:r>
    </w:p>
  </w:footnote>
  <w:footnote w:id="65">
    <w:p w14:paraId="75033308" w14:textId="555588EA" w:rsidR="002C58A4" w:rsidRPr="003B3E2E" w:rsidRDefault="002C58A4" w:rsidP="002C58A4">
      <w:pPr>
        <w:pStyle w:val="Notedebasdepage"/>
      </w:pPr>
      <w:r w:rsidRPr="003B3E2E">
        <w:rPr>
          <w:rStyle w:val="Appelnotedebasdep"/>
        </w:rPr>
        <w:footnoteRef/>
      </w:r>
      <w:r w:rsidRPr="003B3E2E">
        <w:t xml:space="preserve">  </w:t>
      </w:r>
      <w:r w:rsidRPr="003B3E2E">
        <w:tab/>
        <w:t xml:space="preserve">Voir </w:t>
      </w:r>
      <w:r w:rsidRPr="003B3E2E">
        <w:rPr>
          <w:i/>
          <w:iCs/>
        </w:rPr>
        <w:t>Sherman</w:t>
      </w:r>
      <w:r w:rsidRPr="003B3E2E">
        <w:t xml:space="preserve">, </w:t>
      </w:r>
      <w:r w:rsidRPr="003B3E2E">
        <w:rPr>
          <w:i/>
          <w:iCs/>
        </w:rPr>
        <w:t>supra</w:t>
      </w:r>
      <w:r w:rsidRPr="003B3E2E">
        <w:t xml:space="preserve">, note </w:t>
      </w:r>
      <w:r w:rsidRPr="003B3E2E">
        <w:fldChar w:fldCharType="begin"/>
      </w:r>
      <w:r w:rsidRPr="003B3E2E">
        <w:instrText xml:space="preserve"> NOTEREF _Ref223517215 \h </w:instrText>
      </w:r>
      <w:r>
        <w:instrText xml:space="preserve"> \* MERGEFORMAT </w:instrText>
      </w:r>
      <w:r w:rsidRPr="003B3E2E">
        <w:fldChar w:fldCharType="separate"/>
      </w:r>
      <w:r w:rsidR="00ED3853">
        <w:t>63</w:t>
      </w:r>
      <w:r w:rsidRPr="003B3E2E">
        <w:fldChar w:fldCharType="end"/>
      </w:r>
      <w:r w:rsidRPr="003B3E2E">
        <w:t xml:space="preserve">, paragr. 38; </w:t>
      </w:r>
      <w:r w:rsidRPr="003B3E2E">
        <w:rPr>
          <w:i/>
          <w:iCs/>
        </w:rPr>
        <w:t>Sierra Club</w:t>
      </w:r>
      <w:r w:rsidRPr="003B3E2E">
        <w:t xml:space="preserve">, </w:t>
      </w:r>
      <w:r w:rsidRPr="003B3E2E">
        <w:rPr>
          <w:i/>
          <w:iCs/>
        </w:rPr>
        <w:t>supra</w:t>
      </w:r>
      <w:r w:rsidRPr="003B3E2E">
        <w:t xml:space="preserve">, note </w:t>
      </w:r>
      <w:r w:rsidRPr="003B3E2E">
        <w:fldChar w:fldCharType="begin"/>
      </w:r>
      <w:r w:rsidRPr="003B3E2E">
        <w:instrText xml:space="preserve"> NOTEREF _Ref223517215 \h </w:instrText>
      </w:r>
      <w:r>
        <w:instrText xml:space="preserve"> \* MERGEFORMAT </w:instrText>
      </w:r>
      <w:r w:rsidRPr="003B3E2E">
        <w:fldChar w:fldCharType="separate"/>
      </w:r>
      <w:r w:rsidR="00ED3853">
        <w:t>63</w:t>
      </w:r>
      <w:r w:rsidRPr="003B3E2E">
        <w:fldChar w:fldCharType="end"/>
      </w:r>
      <w:r w:rsidRPr="003B3E2E">
        <w:t>, paragr. 53-55.</w:t>
      </w:r>
    </w:p>
  </w:footnote>
  <w:footnote w:id="66">
    <w:p w14:paraId="16C9C367" w14:textId="2E4E21FF" w:rsidR="002C58A4" w:rsidRPr="003B3E2E" w:rsidRDefault="002C58A4" w:rsidP="002C58A4">
      <w:pPr>
        <w:pStyle w:val="Notedebasdepage"/>
        <w:rPr>
          <w:lang w:val="en-CA"/>
        </w:rPr>
      </w:pPr>
      <w:r w:rsidRPr="003B3E2E">
        <w:rPr>
          <w:rStyle w:val="Appelnotedebasdep"/>
        </w:rPr>
        <w:footnoteRef/>
      </w:r>
      <w:r w:rsidRPr="003B3E2E">
        <w:t xml:space="preserve">  </w:t>
      </w:r>
      <w:r w:rsidRPr="003B3E2E">
        <w:tab/>
        <w:t xml:space="preserve">L’article 2 de la </w:t>
      </w:r>
      <w:r w:rsidRPr="003B3E2E">
        <w:rPr>
          <w:i/>
          <w:iCs/>
        </w:rPr>
        <w:t>Loi sur les contrats des organismes publics</w:t>
      </w:r>
      <w:r w:rsidRPr="003B3E2E">
        <w:t xml:space="preserve">, RLRQ, c. C-65.1; </w:t>
      </w:r>
      <w:r w:rsidR="00C24F99">
        <w:t>l</w:t>
      </w:r>
      <w:r w:rsidRPr="003B3E2E">
        <w:t xml:space="preserve">’article 573.1 </w:t>
      </w:r>
      <w:r w:rsidRPr="003B3E2E">
        <w:rPr>
          <w:i/>
          <w:iCs/>
        </w:rPr>
        <w:t>Loi sur les cités et villes</w:t>
      </w:r>
      <w:r w:rsidRPr="003B3E2E">
        <w:t xml:space="preserve">, RLRQ, c. C-19 et l’article 4 </w:t>
      </w:r>
      <w:r w:rsidRPr="003B3E2E">
        <w:rPr>
          <w:i/>
          <w:iCs/>
        </w:rPr>
        <w:t>Charte de la Ville de Montréal</w:t>
      </w:r>
      <w:r w:rsidRPr="003B3E2E">
        <w:t>, RLRQ, c. C-11.4; après le 1</w:t>
      </w:r>
      <w:r w:rsidRPr="003B3E2E">
        <w:rPr>
          <w:vertAlign w:val="superscript"/>
        </w:rPr>
        <w:t>er</w:t>
      </w:r>
      <w:r w:rsidR="00C24F99">
        <w:t> </w:t>
      </w:r>
      <w:r w:rsidRPr="003B3E2E">
        <w:t xml:space="preserve">avril 2026, voir </w:t>
      </w:r>
      <w:r w:rsidRPr="003B3E2E">
        <w:rPr>
          <w:i/>
          <w:iCs/>
        </w:rPr>
        <w:t>Loi sur les contrats des organismes municipaux</w:t>
      </w:r>
      <w:r w:rsidRPr="003B3E2E">
        <w:t xml:space="preserve">, c. C-65.01, art. 1; </w:t>
      </w:r>
      <w:r w:rsidRPr="003B3E2E">
        <w:rPr>
          <w:i/>
          <w:iCs/>
        </w:rPr>
        <w:t>Ville de Montréal c. 9150-2732 Québec inc.</w:t>
      </w:r>
      <w:r w:rsidRPr="003B3E2E">
        <w:t xml:space="preserve">, 2023 QCCA 567, paragr. 42; </w:t>
      </w:r>
      <w:r w:rsidRPr="003B3E2E">
        <w:rPr>
          <w:i/>
          <w:iCs/>
        </w:rPr>
        <w:t>Ville de Montréal c. EBC inc.</w:t>
      </w:r>
      <w:r w:rsidRPr="003B3E2E">
        <w:t xml:space="preserve">, 2019 QCCA 1731, paragr. 31; </w:t>
      </w:r>
      <w:r w:rsidRPr="003B3E2E">
        <w:rPr>
          <w:i/>
          <w:iCs/>
        </w:rPr>
        <w:t>Entreprise P.S. Roy inc. c. Magog (Ville de)</w:t>
      </w:r>
      <w:r w:rsidRPr="003B3E2E">
        <w:t xml:space="preserve">, 2013 QCCA 617, paragr. 63; </w:t>
      </w:r>
      <w:r w:rsidRPr="003B3E2E">
        <w:rPr>
          <w:i/>
          <w:iCs/>
        </w:rPr>
        <w:t>Tercon Contractors Ltd. c. Colombie-Britannique (Transports et Voirie)</w:t>
      </w:r>
      <w:r w:rsidRPr="003B3E2E">
        <w:t xml:space="preserve">, 2010 CSC 4, paragr. 68; </w:t>
      </w:r>
      <w:r w:rsidRPr="003B3E2E">
        <w:rPr>
          <w:i/>
          <w:iCs/>
        </w:rPr>
        <w:t>Canada (Commissaire de la Concurrence) c. Rogers Communications Inc.</w:t>
      </w:r>
      <w:r w:rsidRPr="003B3E2E">
        <w:t xml:space="preserve">, 2024 CF 239, paragr. </w:t>
      </w:r>
      <w:r w:rsidRPr="003B3E2E">
        <w:rPr>
          <w:lang w:val="en-CA"/>
        </w:rPr>
        <w:t>49.</w:t>
      </w:r>
    </w:p>
  </w:footnote>
  <w:footnote w:id="67">
    <w:p w14:paraId="555A05E2" w14:textId="77777777" w:rsidR="002C58A4" w:rsidRPr="003B3E2E" w:rsidRDefault="002C58A4" w:rsidP="002C58A4">
      <w:pPr>
        <w:pStyle w:val="Notedebasdepage"/>
      </w:pPr>
      <w:r w:rsidRPr="003B3E2E">
        <w:rPr>
          <w:rStyle w:val="Appelnotedebasdep"/>
        </w:rPr>
        <w:footnoteRef/>
      </w:r>
      <w:r w:rsidRPr="003B3E2E">
        <w:rPr>
          <w:lang w:val="en-CA"/>
        </w:rPr>
        <w:t xml:space="preserve">  </w:t>
      </w:r>
      <w:r w:rsidRPr="003B3E2E">
        <w:rPr>
          <w:lang w:val="en-CA"/>
        </w:rPr>
        <w:tab/>
      </w:r>
      <w:r w:rsidRPr="003B3E2E">
        <w:rPr>
          <w:i/>
          <w:iCs/>
          <w:lang w:val="en-CA"/>
        </w:rPr>
        <w:t>Resolve Business Outsourcing Income Fund v. Canadian Financial Wellness Group Inc.</w:t>
      </w:r>
      <w:r w:rsidRPr="003B3E2E">
        <w:rPr>
          <w:lang w:val="en-CA"/>
        </w:rPr>
        <w:t xml:space="preserve">, 2014 NSCA 98, paragr. </w:t>
      </w:r>
      <w:r w:rsidRPr="003B3E2E">
        <w:t>35.</w:t>
      </w:r>
    </w:p>
  </w:footnote>
  <w:footnote w:id="68">
    <w:p w14:paraId="79A0832B" w14:textId="77777777" w:rsidR="002C58A4" w:rsidRPr="003B3E2E" w:rsidRDefault="002C58A4" w:rsidP="002C58A4">
      <w:pPr>
        <w:pStyle w:val="Notedebasdepage"/>
      </w:pPr>
      <w:r w:rsidRPr="003B3E2E">
        <w:rPr>
          <w:rStyle w:val="Appelnotedebasdep"/>
        </w:rPr>
        <w:footnoteRef/>
      </w:r>
      <w:r w:rsidRPr="003B3E2E">
        <w:t xml:space="preserve"> </w:t>
      </w:r>
      <w:r w:rsidRPr="003B3E2E">
        <w:tab/>
      </w:r>
      <w:r w:rsidRPr="003B3E2E">
        <w:rPr>
          <w:i/>
          <w:iCs/>
        </w:rPr>
        <w:t>Canada (Commissaire de la Concurrence) c. Rogers Communications Inc.</w:t>
      </w:r>
      <w:r w:rsidRPr="003B3E2E">
        <w:t>, 2024 CF 239, paragr. 45.</w:t>
      </w:r>
    </w:p>
  </w:footnote>
  <w:footnote w:id="69">
    <w:p w14:paraId="1DD5012F" w14:textId="2E0F4A60" w:rsidR="002C58A4" w:rsidRPr="003B3E2E" w:rsidRDefault="002C58A4" w:rsidP="002C58A4">
      <w:pPr>
        <w:pStyle w:val="Notedebasdepage"/>
      </w:pPr>
      <w:r w:rsidRPr="003B3E2E">
        <w:rPr>
          <w:rStyle w:val="Appelnotedebasdep"/>
        </w:rPr>
        <w:footnoteRef/>
      </w:r>
      <w:r w:rsidRPr="006C2493">
        <w:t xml:space="preserve">  </w:t>
      </w:r>
      <w:r w:rsidRPr="006C2493">
        <w:tab/>
      </w:r>
      <w:r w:rsidRPr="006C2493">
        <w:rPr>
          <w:i/>
          <w:iCs/>
        </w:rPr>
        <w:t>Sherman</w:t>
      </w:r>
      <w:r w:rsidRPr="006C2493">
        <w:t xml:space="preserve">, </w:t>
      </w:r>
      <w:r w:rsidRPr="006C2493">
        <w:rPr>
          <w:i/>
          <w:iCs/>
        </w:rPr>
        <w:t>supra</w:t>
      </w:r>
      <w:r w:rsidRPr="006C2493">
        <w:t xml:space="preserve">, note </w:t>
      </w:r>
      <w:r w:rsidRPr="003B3E2E">
        <w:fldChar w:fldCharType="begin"/>
      </w:r>
      <w:r w:rsidRPr="006C2493">
        <w:instrText xml:space="preserve"> NOTEREF _Ref223517215 \h  \* MERGEFORMAT </w:instrText>
      </w:r>
      <w:r w:rsidRPr="003B3E2E">
        <w:fldChar w:fldCharType="separate"/>
      </w:r>
      <w:r w:rsidR="00ED3853">
        <w:t>63</w:t>
      </w:r>
      <w:r w:rsidRPr="003B3E2E">
        <w:fldChar w:fldCharType="end"/>
      </w:r>
      <w:r w:rsidRPr="006C2493">
        <w:t xml:space="preserve">, paragr. 41-42; </w:t>
      </w:r>
      <w:r w:rsidRPr="006C2493">
        <w:rPr>
          <w:i/>
          <w:iCs/>
        </w:rPr>
        <w:t>R. c. Mentuck</w:t>
      </w:r>
      <w:r w:rsidRPr="006C2493">
        <w:t xml:space="preserve">, 2001 CSC 76, paragr. </w:t>
      </w:r>
      <w:r w:rsidRPr="003B3E2E">
        <w:t>32-34 (</w:t>
      </w:r>
      <w:r w:rsidRPr="003B3E2E">
        <w:rPr>
          <w:i/>
          <w:iCs/>
        </w:rPr>
        <w:t>Mentuck</w:t>
      </w:r>
      <w:r w:rsidRPr="003B3E2E">
        <w:t xml:space="preserve">); </w:t>
      </w:r>
      <w:r w:rsidRPr="003B3E2E">
        <w:rPr>
          <w:i/>
          <w:iCs/>
        </w:rPr>
        <w:t>Sierra Club</w:t>
      </w:r>
      <w:r w:rsidRPr="003B3E2E">
        <w:t xml:space="preserve">, </w:t>
      </w:r>
      <w:r w:rsidRPr="003B3E2E">
        <w:rPr>
          <w:i/>
          <w:iCs/>
        </w:rPr>
        <w:t>supra</w:t>
      </w:r>
      <w:r w:rsidRPr="003B3E2E">
        <w:t xml:space="preserve">, note </w:t>
      </w:r>
      <w:r w:rsidRPr="003B3E2E">
        <w:fldChar w:fldCharType="begin"/>
      </w:r>
      <w:r w:rsidRPr="003B3E2E">
        <w:instrText xml:space="preserve"> NOTEREF _Ref223517215 \h  \* MERGEFORMAT </w:instrText>
      </w:r>
      <w:r w:rsidRPr="003B3E2E">
        <w:fldChar w:fldCharType="separate"/>
      </w:r>
      <w:r w:rsidR="00ED3853">
        <w:t>63</w:t>
      </w:r>
      <w:r w:rsidRPr="003B3E2E">
        <w:fldChar w:fldCharType="end"/>
      </w:r>
      <w:r w:rsidRPr="003B3E2E">
        <w:t>, paragr. 46 et 53-54.</w:t>
      </w:r>
    </w:p>
  </w:footnote>
  <w:footnote w:id="70">
    <w:p w14:paraId="0F9B2598" w14:textId="77777777" w:rsidR="002C58A4" w:rsidRPr="003B3E2E" w:rsidRDefault="002C58A4" w:rsidP="002C58A4">
      <w:pPr>
        <w:pStyle w:val="Notedebasdepage"/>
      </w:pPr>
      <w:r w:rsidRPr="003B3E2E">
        <w:rPr>
          <w:rStyle w:val="Appelnotedebasdep"/>
        </w:rPr>
        <w:footnoteRef/>
      </w:r>
      <w:r w:rsidRPr="003B3E2E">
        <w:t xml:space="preserve">  </w:t>
      </w:r>
      <w:r w:rsidRPr="003B3E2E">
        <w:tab/>
      </w:r>
      <w:r w:rsidRPr="003B3E2E">
        <w:rPr>
          <w:i/>
          <w:iCs/>
        </w:rPr>
        <w:t>J.C. c. Douville</w:t>
      </w:r>
      <w:r w:rsidRPr="003B3E2E">
        <w:t>, 2022 QCCA 958, paragr. 46-49.</w:t>
      </w:r>
    </w:p>
  </w:footnote>
  <w:footnote w:id="71">
    <w:p w14:paraId="4DFDF090" w14:textId="25DDA395" w:rsidR="002C58A4" w:rsidRPr="003B3E2E" w:rsidRDefault="002C58A4" w:rsidP="002C58A4">
      <w:pPr>
        <w:pStyle w:val="Notedebasdepage"/>
      </w:pPr>
      <w:r w:rsidRPr="003B3E2E">
        <w:rPr>
          <w:rStyle w:val="Appelnotedebasdep"/>
        </w:rPr>
        <w:footnoteRef/>
      </w:r>
      <w:r w:rsidRPr="003B3E2E">
        <w:t xml:space="preserve">  </w:t>
      </w:r>
      <w:r w:rsidRPr="003B3E2E">
        <w:tab/>
      </w:r>
      <w:r w:rsidRPr="003B3E2E">
        <w:rPr>
          <w:i/>
          <w:iCs/>
        </w:rPr>
        <w:t>Sherman</w:t>
      </w:r>
      <w:r w:rsidRPr="003B3E2E">
        <w:t xml:space="preserve">, </w:t>
      </w:r>
      <w:r w:rsidRPr="003B3E2E">
        <w:rPr>
          <w:i/>
          <w:iCs/>
        </w:rPr>
        <w:t>supra</w:t>
      </w:r>
      <w:r w:rsidRPr="003B3E2E">
        <w:t xml:space="preserve">, note </w:t>
      </w:r>
      <w:r w:rsidRPr="003B3E2E">
        <w:fldChar w:fldCharType="begin"/>
      </w:r>
      <w:r w:rsidRPr="003B3E2E">
        <w:instrText xml:space="preserve"> NOTEREF _Ref223517215 \h  \* MERGEFORMAT </w:instrText>
      </w:r>
      <w:r w:rsidRPr="003B3E2E">
        <w:fldChar w:fldCharType="separate"/>
      </w:r>
      <w:r w:rsidR="00ED3853">
        <w:t>63</w:t>
      </w:r>
      <w:r w:rsidRPr="003B3E2E">
        <w:fldChar w:fldCharType="end"/>
      </w:r>
      <w:r w:rsidRPr="003B3E2E">
        <w:t>, paragr. 103.</w:t>
      </w:r>
    </w:p>
  </w:footnote>
  <w:footnote w:id="72">
    <w:p w14:paraId="2202B4EF" w14:textId="77777777" w:rsidR="002C58A4" w:rsidRPr="003B3E2E" w:rsidRDefault="002C58A4" w:rsidP="002C58A4">
      <w:pPr>
        <w:pStyle w:val="Notedebasdepage"/>
      </w:pPr>
      <w:r w:rsidRPr="003B3E2E">
        <w:rPr>
          <w:rStyle w:val="Appelnotedebasdep"/>
        </w:rPr>
        <w:footnoteRef/>
      </w:r>
      <w:r w:rsidRPr="003B3E2E">
        <w:t xml:space="preserve">  </w:t>
      </w:r>
      <w:r w:rsidRPr="003B3E2E">
        <w:tab/>
        <w:t>A</w:t>
      </w:r>
      <w:r w:rsidRPr="003B3E2E">
        <w:rPr>
          <w:i/>
          <w:iCs/>
        </w:rPr>
        <w:t>.B. c. Bragg Communications Inc.</w:t>
      </w:r>
      <w:r w:rsidRPr="003B3E2E">
        <w:t>, 2012 CSC 46, [2012] 2 R.C.S. 567, paragr. 16.</w:t>
      </w:r>
    </w:p>
  </w:footnote>
  <w:footnote w:id="73">
    <w:p w14:paraId="5CE3E886" w14:textId="77777777" w:rsidR="002C58A4" w:rsidRPr="003B3E2E" w:rsidRDefault="002C58A4" w:rsidP="002C58A4">
      <w:pPr>
        <w:pStyle w:val="Notedebasdepage"/>
      </w:pPr>
      <w:r w:rsidRPr="003B3E2E">
        <w:rPr>
          <w:rStyle w:val="Appelnotedebasdep"/>
        </w:rPr>
        <w:footnoteRef/>
      </w:r>
      <w:r w:rsidRPr="003B3E2E">
        <w:t xml:space="preserve">  </w:t>
      </w:r>
      <w:r w:rsidRPr="003B3E2E">
        <w:tab/>
      </w:r>
      <w:r w:rsidRPr="003B3E2E">
        <w:rPr>
          <w:i/>
          <w:iCs/>
        </w:rPr>
        <w:t>Housen c. Nikolaisen</w:t>
      </w:r>
      <w:r w:rsidRPr="003B3E2E">
        <w:t>, 2002 CSC 33, [2002] 2 R.C.S. 235, paragr. 36-37.</w:t>
      </w:r>
    </w:p>
  </w:footnote>
  <w:footnote w:id="74">
    <w:p w14:paraId="2E5C4342" w14:textId="23CAABE7" w:rsidR="002C58A4" w:rsidRPr="003B3E2E" w:rsidRDefault="002C58A4" w:rsidP="002C58A4">
      <w:pPr>
        <w:pStyle w:val="Notedebasdepage"/>
      </w:pPr>
      <w:r w:rsidRPr="003B3E2E">
        <w:rPr>
          <w:rStyle w:val="Appelnotedebasdep"/>
        </w:rPr>
        <w:footnoteRef/>
      </w:r>
      <w:r w:rsidRPr="003B3E2E">
        <w:t xml:space="preserve"> </w:t>
      </w:r>
      <w:r w:rsidRPr="003B3E2E">
        <w:tab/>
      </w:r>
      <w:r w:rsidRPr="003B3E2E">
        <w:rPr>
          <w:i/>
          <w:iCs/>
        </w:rPr>
        <w:t>Sierra Club</w:t>
      </w:r>
      <w:r w:rsidRPr="003B3E2E">
        <w:t xml:space="preserve">, </w:t>
      </w:r>
      <w:r w:rsidRPr="003B3E2E">
        <w:rPr>
          <w:i/>
          <w:iCs/>
        </w:rPr>
        <w:t>supra</w:t>
      </w:r>
      <w:r w:rsidRPr="003B3E2E">
        <w:t xml:space="preserve">, note </w:t>
      </w:r>
      <w:r w:rsidRPr="003B3E2E">
        <w:fldChar w:fldCharType="begin"/>
      </w:r>
      <w:r w:rsidRPr="003B3E2E">
        <w:instrText xml:space="preserve"> NOTEREF _Ref223517215 \h  \* MERGEFORMAT </w:instrText>
      </w:r>
      <w:r w:rsidRPr="003B3E2E">
        <w:fldChar w:fldCharType="separate"/>
      </w:r>
      <w:r w:rsidR="00ED3853">
        <w:t>63</w:t>
      </w:r>
      <w:r w:rsidRPr="003B3E2E">
        <w:fldChar w:fldCharType="end"/>
      </w:r>
      <w:r w:rsidRPr="003B3E2E">
        <w:t xml:space="preserve">, paragr. 83, citant </w:t>
      </w:r>
      <w:r w:rsidRPr="003B3E2E">
        <w:rPr>
          <w:i/>
          <w:iCs/>
        </w:rPr>
        <w:t>Sierra Club du Canada c. Canada (Ministre des Finances) (C.A.)</w:t>
      </w:r>
      <w:r w:rsidRPr="003B3E2E">
        <w:t>, 2000 CanLII 14737 (CAF), [2000] 4 CF 426, paragr. 87.</w:t>
      </w:r>
    </w:p>
  </w:footnote>
  <w:footnote w:id="75">
    <w:p w14:paraId="248D0801" w14:textId="56184628" w:rsidR="002C58A4" w:rsidRPr="003B3E2E" w:rsidRDefault="002C58A4" w:rsidP="002C58A4">
      <w:pPr>
        <w:pStyle w:val="Notedebasdepage"/>
      </w:pPr>
      <w:r w:rsidRPr="003B3E2E">
        <w:rPr>
          <w:rStyle w:val="Appelnotedebasdep"/>
        </w:rPr>
        <w:footnoteRef/>
      </w:r>
      <w:r w:rsidRPr="003B3E2E">
        <w:t xml:space="preserve">  </w:t>
      </w:r>
      <w:r w:rsidRPr="003B3E2E">
        <w:tab/>
      </w:r>
      <w:r w:rsidRPr="003B3E2E">
        <w:rPr>
          <w:i/>
          <w:iCs/>
        </w:rPr>
        <w:t>Sherman</w:t>
      </w:r>
      <w:r w:rsidRPr="003B3E2E">
        <w:t xml:space="preserve">, </w:t>
      </w:r>
      <w:r w:rsidRPr="003B3E2E">
        <w:rPr>
          <w:i/>
          <w:iCs/>
        </w:rPr>
        <w:t>supra</w:t>
      </w:r>
      <w:r w:rsidRPr="003B3E2E">
        <w:t xml:space="preserve">, note </w:t>
      </w:r>
      <w:r w:rsidRPr="003B3E2E">
        <w:fldChar w:fldCharType="begin"/>
      </w:r>
      <w:r w:rsidRPr="003B3E2E">
        <w:instrText xml:space="preserve"> NOTEREF _Ref223517215 \h  \* MERGEFORMAT </w:instrText>
      </w:r>
      <w:r w:rsidRPr="003B3E2E">
        <w:fldChar w:fldCharType="separate"/>
      </w:r>
      <w:r w:rsidR="00ED3853">
        <w:t>63</w:t>
      </w:r>
      <w:r w:rsidRPr="003B3E2E">
        <w:fldChar w:fldCharType="end"/>
      </w:r>
      <w:r w:rsidRPr="003B3E2E">
        <w:t>, paragr. 54.</w:t>
      </w:r>
    </w:p>
  </w:footnote>
  <w:footnote w:id="76">
    <w:p w14:paraId="5178DDB6" w14:textId="2C2A75A5" w:rsidR="002C58A4" w:rsidRPr="003B3E2E" w:rsidRDefault="002C58A4" w:rsidP="002C58A4">
      <w:pPr>
        <w:pStyle w:val="Notedebasdepage"/>
      </w:pPr>
      <w:r w:rsidRPr="003B3E2E">
        <w:rPr>
          <w:rStyle w:val="Appelnotedebasdep"/>
        </w:rPr>
        <w:footnoteRef/>
      </w:r>
      <w:r w:rsidRPr="003B3E2E">
        <w:t xml:space="preserve">  </w:t>
      </w:r>
      <w:r w:rsidRPr="003B3E2E">
        <w:tab/>
      </w:r>
      <w:r w:rsidRPr="003B3E2E">
        <w:rPr>
          <w:i/>
          <w:iCs/>
        </w:rPr>
        <w:t>Lac d’Amiante du Québec Ltée c. 2858-0702 Québec Inc.</w:t>
      </w:r>
      <w:r w:rsidRPr="003B3E2E">
        <w:t xml:space="preserve">, 2001 CSC 51, paragr. 69-74; </w:t>
      </w:r>
      <w:r w:rsidRPr="003B3E2E">
        <w:rPr>
          <w:i/>
          <w:iCs/>
        </w:rPr>
        <w:t>Juman c. Doucette</w:t>
      </w:r>
      <w:r w:rsidRPr="003B3E2E">
        <w:t xml:space="preserve">, </w:t>
      </w:r>
      <w:r w:rsidR="00164238" w:rsidRPr="00DD5537">
        <w:t>2008 CSC 8</w:t>
      </w:r>
      <w:r w:rsidRPr="003B3E2E">
        <w:t xml:space="preserve">, paragr. 25 et 51; </w:t>
      </w:r>
      <w:r w:rsidRPr="003B3E2E">
        <w:rPr>
          <w:i/>
          <w:iCs/>
        </w:rPr>
        <w:t>Baril c. Woods</w:t>
      </w:r>
      <w:r w:rsidRPr="003B3E2E">
        <w:t xml:space="preserve">, </w:t>
      </w:r>
      <w:r w:rsidR="00164238" w:rsidRPr="00DD5537">
        <w:t>2022 QCCA 227</w:t>
      </w:r>
      <w:r w:rsidRPr="003B3E2E">
        <w:t>, paragr. 18.</w:t>
      </w:r>
    </w:p>
  </w:footnote>
  <w:footnote w:id="77">
    <w:p w14:paraId="24DE76AC" w14:textId="7E3432CB" w:rsidR="002C58A4" w:rsidRPr="001C0805" w:rsidRDefault="002C58A4" w:rsidP="002C58A4">
      <w:pPr>
        <w:pStyle w:val="Notedebasdepage"/>
      </w:pPr>
      <w:r w:rsidRPr="003B3E2E">
        <w:rPr>
          <w:rStyle w:val="Appelnotedebasdep"/>
        </w:rPr>
        <w:footnoteRef/>
      </w:r>
      <w:r w:rsidRPr="003B3E2E">
        <w:t xml:space="preserve"> </w:t>
      </w:r>
      <w:r w:rsidRPr="003B3E2E">
        <w:tab/>
        <w:t xml:space="preserve">Sherman, </w:t>
      </w:r>
      <w:r w:rsidRPr="003B3E2E">
        <w:rPr>
          <w:i/>
          <w:iCs/>
        </w:rPr>
        <w:t>supra</w:t>
      </w:r>
      <w:r w:rsidRPr="003B3E2E">
        <w:t xml:space="preserve">, note </w:t>
      </w:r>
      <w:r w:rsidRPr="003B3E2E">
        <w:fldChar w:fldCharType="begin"/>
      </w:r>
      <w:r w:rsidRPr="003B3E2E">
        <w:instrText xml:space="preserve"> NOTEREF _Ref223517215 \h  \* MERGEFORMAT </w:instrText>
      </w:r>
      <w:r w:rsidRPr="003B3E2E">
        <w:fldChar w:fldCharType="separate"/>
      </w:r>
      <w:r w:rsidR="00ED3853">
        <w:t>63</w:t>
      </w:r>
      <w:r w:rsidRPr="003B3E2E">
        <w:fldChar w:fldCharType="end"/>
      </w:r>
      <w:r w:rsidRPr="003B3E2E">
        <w:t xml:space="preserve">, paragr. 104; </w:t>
      </w:r>
      <w:r w:rsidRPr="003B3E2E">
        <w:rPr>
          <w:i/>
          <w:iCs/>
        </w:rPr>
        <w:t>Sierra Club</w:t>
      </w:r>
      <w:r w:rsidRPr="003B3E2E">
        <w:t xml:space="preserve">, </w:t>
      </w:r>
      <w:r w:rsidRPr="003B3E2E">
        <w:rPr>
          <w:i/>
          <w:iCs/>
        </w:rPr>
        <w:t>supra</w:t>
      </w:r>
      <w:r w:rsidRPr="003B3E2E">
        <w:t xml:space="preserve">, note </w:t>
      </w:r>
      <w:r w:rsidRPr="003B3E2E">
        <w:fldChar w:fldCharType="begin"/>
      </w:r>
      <w:r w:rsidRPr="003B3E2E">
        <w:instrText xml:space="preserve"> NOTEREF _Ref223517215 \h  \* MERGEFORMAT </w:instrText>
      </w:r>
      <w:r w:rsidRPr="003B3E2E">
        <w:fldChar w:fldCharType="separate"/>
      </w:r>
      <w:r w:rsidR="00ED3853">
        <w:t>63</w:t>
      </w:r>
      <w:r w:rsidRPr="003B3E2E">
        <w:fldChar w:fldCharType="end"/>
      </w:r>
      <w:r w:rsidRPr="003B3E2E">
        <w:t xml:space="preserve">, paragr. 86-90; Voir aussi </w:t>
      </w:r>
      <w:r w:rsidRPr="003B3E2E">
        <w:rPr>
          <w:i/>
          <w:iCs/>
        </w:rPr>
        <w:t>Mentuck</w:t>
      </w:r>
      <w:r w:rsidRPr="003B3E2E">
        <w:t xml:space="preserve">, </w:t>
      </w:r>
      <w:r w:rsidRPr="003B3E2E">
        <w:rPr>
          <w:i/>
          <w:iCs/>
        </w:rPr>
        <w:t>supra</w:t>
      </w:r>
      <w:r w:rsidRPr="003B3E2E">
        <w:t xml:space="preserve">, note </w:t>
      </w:r>
      <w:r w:rsidRPr="003B3E2E">
        <w:fldChar w:fldCharType="begin"/>
      </w:r>
      <w:r w:rsidRPr="003B3E2E">
        <w:instrText xml:space="preserve"> NOTEREF _Ref224301786 \h  \* MERGEFORMAT </w:instrText>
      </w:r>
      <w:r w:rsidRPr="003B3E2E">
        <w:fldChar w:fldCharType="separate"/>
      </w:r>
      <w:r w:rsidR="00ED3853">
        <w:t>69</w:t>
      </w:r>
      <w:r w:rsidRPr="003B3E2E">
        <w:fldChar w:fldCharType="end"/>
      </w:r>
      <w:r w:rsidRPr="003B3E2E">
        <w:t>, paragr.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3627" w14:textId="63A98D09" w:rsidR="007E33E4" w:rsidRDefault="004566AB" w:rsidP="00DB2119">
    <w:pPr>
      <w:tabs>
        <w:tab w:val="center" w:pos="4709"/>
        <w:tab w:val="right" w:pos="9360"/>
      </w:tabs>
      <w:spacing w:line="360" w:lineRule="auto"/>
      <w:ind w:right="524"/>
    </w:pPr>
    <w:bookmarkStart w:id="23" w:name="EntDossier"/>
    <w:r>
      <w:t>500-09-031435-258</w:t>
    </w:r>
    <w:bookmarkEnd w:id="23"/>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41E02692"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A04A9D"/>
    <w:multiLevelType w:val="hybridMultilevel"/>
    <w:tmpl w:val="953EE624"/>
    <w:lvl w:ilvl="0" w:tplc="0C0C0001">
      <w:start w:val="4"/>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791472F"/>
    <w:multiLevelType w:val="multilevel"/>
    <w:tmpl w:val="DB08403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005744867">
    <w:abstractNumId w:val="14"/>
  </w:num>
  <w:num w:numId="2" w16cid:durableId="2126729408">
    <w:abstractNumId w:val="14"/>
  </w:num>
  <w:num w:numId="3" w16cid:durableId="1932200708">
    <w:abstractNumId w:val="14"/>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4"/>
  </w:num>
  <w:num w:numId="15" w16cid:durableId="1382091185">
    <w:abstractNumId w:val="14"/>
  </w:num>
  <w:num w:numId="16" w16cid:durableId="1993637402">
    <w:abstractNumId w:val="14"/>
  </w:num>
  <w:num w:numId="17" w16cid:durableId="1263806435">
    <w:abstractNumId w:val="13"/>
  </w:num>
  <w:num w:numId="18" w16cid:durableId="43604593">
    <w:abstractNumId w:val="10"/>
  </w:num>
  <w:num w:numId="19" w16cid:durableId="1995983098">
    <w:abstractNumId w:val="12"/>
  </w:num>
  <w:num w:numId="20" w16cid:durableId="13903469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E LA JUGE"/>
    <w:docVar w:name="MotifJuge3" w:val="MOTIFS DE LA JUGE"/>
    <w:docVar w:name="NomFamJuge1" w:val="SCHRAGER"/>
    <w:docVar w:name="NomFamJuge2" w:val="HARVIE"/>
    <w:docVar w:name="NomFamJuge3" w:val="LACHANCE"/>
    <w:docVar w:name="NomFamJuge4" w:val="MAILHOT"/>
    <w:docVar w:name="NomFamJuge5" w:val="BAUDOUIN"/>
    <w:docVar w:name="QteJuge1" w:val=", J.C.A."/>
    <w:docVar w:name="QteJuge2" w:val=", J.C.A."/>
    <w:docVar w:name="QteJuge3" w:val=", J.C.A."/>
    <w:docVar w:name="stPremiereFois" w:val="Non"/>
  </w:docVars>
  <w:rsids>
    <w:rsidRoot w:val="004566AB"/>
    <w:rsid w:val="000131E1"/>
    <w:rsid w:val="000270F0"/>
    <w:rsid w:val="0004394C"/>
    <w:rsid w:val="00053691"/>
    <w:rsid w:val="000748EB"/>
    <w:rsid w:val="000978DA"/>
    <w:rsid w:val="000A7516"/>
    <w:rsid w:val="000B42AF"/>
    <w:rsid w:val="000D6127"/>
    <w:rsid w:val="000F229C"/>
    <w:rsid w:val="00110B53"/>
    <w:rsid w:val="00112321"/>
    <w:rsid w:val="00117914"/>
    <w:rsid w:val="0013028C"/>
    <w:rsid w:val="0015610F"/>
    <w:rsid w:val="00160B31"/>
    <w:rsid w:val="00164238"/>
    <w:rsid w:val="00172B8B"/>
    <w:rsid w:val="00181F56"/>
    <w:rsid w:val="00190FA7"/>
    <w:rsid w:val="001972F2"/>
    <w:rsid w:val="001E7D53"/>
    <w:rsid w:val="001F5E3A"/>
    <w:rsid w:val="001F6BAB"/>
    <w:rsid w:val="00205DC4"/>
    <w:rsid w:val="0021548E"/>
    <w:rsid w:val="00223ACE"/>
    <w:rsid w:val="002273F5"/>
    <w:rsid w:val="002474AC"/>
    <w:rsid w:val="00256C5F"/>
    <w:rsid w:val="002947A6"/>
    <w:rsid w:val="002A1750"/>
    <w:rsid w:val="002A3ADD"/>
    <w:rsid w:val="002B4A07"/>
    <w:rsid w:val="002C342C"/>
    <w:rsid w:val="002C4107"/>
    <w:rsid w:val="002C58A4"/>
    <w:rsid w:val="002D0908"/>
    <w:rsid w:val="002E1F0E"/>
    <w:rsid w:val="002E229C"/>
    <w:rsid w:val="002E4FCE"/>
    <w:rsid w:val="002E51F1"/>
    <w:rsid w:val="002F1350"/>
    <w:rsid w:val="002F6136"/>
    <w:rsid w:val="00313611"/>
    <w:rsid w:val="00322DE0"/>
    <w:rsid w:val="0032363D"/>
    <w:rsid w:val="0033190E"/>
    <w:rsid w:val="00355594"/>
    <w:rsid w:val="00361325"/>
    <w:rsid w:val="00370630"/>
    <w:rsid w:val="00374888"/>
    <w:rsid w:val="00374E40"/>
    <w:rsid w:val="00392E75"/>
    <w:rsid w:val="003A18AF"/>
    <w:rsid w:val="003D09B7"/>
    <w:rsid w:val="003D487D"/>
    <w:rsid w:val="003E05D3"/>
    <w:rsid w:val="003E3239"/>
    <w:rsid w:val="003E3E3C"/>
    <w:rsid w:val="003F6799"/>
    <w:rsid w:val="00413E13"/>
    <w:rsid w:val="00423DF1"/>
    <w:rsid w:val="00430C58"/>
    <w:rsid w:val="004331C4"/>
    <w:rsid w:val="0043564D"/>
    <w:rsid w:val="00441C25"/>
    <w:rsid w:val="00446452"/>
    <w:rsid w:val="004566AB"/>
    <w:rsid w:val="00472DC8"/>
    <w:rsid w:val="004802EC"/>
    <w:rsid w:val="004A29F1"/>
    <w:rsid w:val="004A6641"/>
    <w:rsid w:val="004B1E94"/>
    <w:rsid w:val="004B33FF"/>
    <w:rsid w:val="004D2F69"/>
    <w:rsid w:val="004D5DAD"/>
    <w:rsid w:val="004D7BB2"/>
    <w:rsid w:val="004E1C61"/>
    <w:rsid w:val="004E4FBA"/>
    <w:rsid w:val="004F44C4"/>
    <w:rsid w:val="005131F1"/>
    <w:rsid w:val="0051484F"/>
    <w:rsid w:val="00516B3E"/>
    <w:rsid w:val="005262C9"/>
    <w:rsid w:val="00531D70"/>
    <w:rsid w:val="00534633"/>
    <w:rsid w:val="00535FF3"/>
    <w:rsid w:val="00545ACF"/>
    <w:rsid w:val="005538A3"/>
    <w:rsid w:val="00566BF6"/>
    <w:rsid w:val="00567A59"/>
    <w:rsid w:val="00570DEF"/>
    <w:rsid w:val="00583434"/>
    <w:rsid w:val="0058349F"/>
    <w:rsid w:val="005A78BF"/>
    <w:rsid w:val="005B6556"/>
    <w:rsid w:val="005B6B4C"/>
    <w:rsid w:val="005C7516"/>
    <w:rsid w:val="005D1522"/>
    <w:rsid w:val="005F5F5F"/>
    <w:rsid w:val="00600B88"/>
    <w:rsid w:val="006070E0"/>
    <w:rsid w:val="006119AA"/>
    <w:rsid w:val="00612444"/>
    <w:rsid w:val="00624770"/>
    <w:rsid w:val="0064250B"/>
    <w:rsid w:val="006826AA"/>
    <w:rsid w:val="0068356A"/>
    <w:rsid w:val="00684BBE"/>
    <w:rsid w:val="00685581"/>
    <w:rsid w:val="006A0DB0"/>
    <w:rsid w:val="006A6629"/>
    <w:rsid w:val="0070726A"/>
    <w:rsid w:val="00740A17"/>
    <w:rsid w:val="00741E88"/>
    <w:rsid w:val="007462D6"/>
    <w:rsid w:val="0074738B"/>
    <w:rsid w:val="0076062E"/>
    <w:rsid w:val="007901CC"/>
    <w:rsid w:val="007953F3"/>
    <w:rsid w:val="007A7803"/>
    <w:rsid w:val="007B061E"/>
    <w:rsid w:val="007B48D5"/>
    <w:rsid w:val="007D087C"/>
    <w:rsid w:val="007E33E4"/>
    <w:rsid w:val="007E4CC9"/>
    <w:rsid w:val="007F40FD"/>
    <w:rsid w:val="00800D23"/>
    <w:rsid w:val="00801DC3"/>
    <w:rsid w:val="00816273"/>
    <w:rsid w:val="0082077E"/>
    <w:rsid w:val="0082717B"/>
    <w:rsid w:val="00827B04"/>
    <w:rsid w:val="0083032E"/>
    <w:rsid w:val="008377F6"/>
    <w:rsid w:val="00841907"/>
    <w:rsid w:val="008476DF"/>
    <w:rsid w:val="0086036A"/>
    <w:rsid w:val="00862716"/>
    <w:rsid w:val="008653A3"/>
    <w:rsid w:val="008657A2"/>
    <w:rsid w:val="00866645"/>
    <w:rsid w:val="00882210"/>
    <w:rsid w:val="0089517D"/>
    <w:rsid w:val="008A6185"/>
    <w:rsid w:val="008B6955"/>
    <w:rsid w:val="008C1FE9"/>
    <w:rsid w:val="008C7DCE"/>
    <w:rsid w:val="008D18FC"/>
    <w:rsid w:val="008D21C6"/>
    <w:rsid w:val="008D398B"/>
    <w:rsid w:val="008D7E49"/>
    <w:rsid w:val="008E5E9D"/>
    <w:rsid w:val="008F364A"/>
    <w:rsid w:val="008F3F53"/>
    <w:rsid w:val="00913E03"/>
    <w:rsid w:val="00921C88"/>
    <w:rsid w:val="009229E9"/>
    <w:rsid w:val="00926953"/>
    <w:rsid w:val="00932703"/>
    <w:rsid w:val="00936469"/>
    <w:rsid w:val="009400B7"/>
    <w:rsid w:val="00954DC2"/>
    <w:rsid w:val="00957B92"/>
    <w:rsid w:val="009673BB"/>
    <w:rsid w:val="00970966"/>
    <w:rsid w:val="00974442"/>
    <w:rsid w:val="0097729B"/>
    <w:rsid w:val="009F1F69"/>
    <w:rsid w:val="00A23BF4"/>
    <w:rsid w:val="00A2593B"/>
    <w:rsid w:val="00A3230B"/>
    <w:rsid w:val="00A34E05"/>
    <w:rsid w:val="00A43D8B"/>
    <w:rsid w:val="00A454F1"/>
    <w:rsid w:val="00A46422"/>
    <w:rsid w:val="00A543CC"/>
    <w:rsid w:val="00A93CFF"/>
    <w:rsid w:val="00AA0202"/>
    <w:rsid w:val="00AB7DD2"/>
    <w:rsid w:val="00AC0857"/>
    <w:rsid w:val="00AE1B6D"/>
    <w:rsid w:val="00AF0C7C"/>
    <w:rsid w:val="00B01D86"/>
    <w:rsid w:val="00B07E4E"/>
    <w:rsid w:val="00B11FD1"/>
    <w:rsid w:val="00B137E9"/>
    <w:rsid w:val="00B30EA2"/>
    <w:rsid w:val="00B36ED3"/>
    <w:rsid w:val="00B513C9"/>
    <w:rsid w:val="00B518F6"/>
    <w:rsid w:val="00B56EF4"/>
    <w:rsid w:val="00B70485"/>
    <w:rsid w:val="00B82A13"/>
    <w:rsid w:val="00BE3C97"/>
    <w:rsid w:val="00C02AF8"/>
    <w:rsid w:val="00C17E01"/>
    <w:rsid w:val="00C24F99"/>
    <w:rsid w:val="00C31AC4"/>
    <w:rsid w:val="00C409BE"/>
    <w:rsid w:val="00C423CA"/>
    <w:rsid w:val="00C652ED"/>
    <w:rsid w:val="00C75A61"/>
    <w:rsid w:val="00C7793C"/>
    <w:rsid w:val="00C83064"/>
    <w:rsid w:val="00C939A8"/>
    <w:rsid w:val="00C946D3"/>
    <w:rsid w:val="00C97145"/>
    <w:rsid w:val="00CC3004"/>
    <w:rsid w:val="00CD481D"/>
    <w:rsid w:val="00CF2E56"/>
    <w:rsid w:val="00D010FD"/>
    <w:rsid w:val="00D01DB3"/>
    <w:rsid w:val="00D02812"/>
    <w:rsid w:val="00D20056"/>
    <w:rsid w:val="00D319FF"/>
    <w:rsid w:val="00DA36E1"/>
    <w:rsid w:val="00DB2119"/>
    <w:rsid w:val="00DC05BC"/>
    <w:rsid w:val="00DD3A24"/>
    <w:rsid w:val="00DD5537"/>
    <w:rsid w:val="00DF3516"/>
    <w:rsid w:val="00DF5EBC"/>
    <w:rsid w:val="00E03C07"/>
    <w:rsid w:val="00E20E3C"/>
    <w:rsid w:val="00E36290"/>
    <w:rsid w:val="00E4052E"/>
    <w:rsid w:val="00E66BB7"/>
    <w:rsid w:val="00E71D23"/>
    <w:rsid w:val="00E81E61"/>
    <w:rsid w:val="00E848B4"/>
    <w:rsid w:val="00E901AF"/>
    <w:rsid w:val="00E91417"/>
    <w:rsid w:val="00E94329"/>
    <w:rsid w:val="00EA78A2"/>
    <w:rsid w:val="00EA7EAE"/>
    <w:rsid w:val="00EB1377"/>
    <w:rsid w:val="00EC1E33"/>
    <w:rsid w:val="00EC2F92"/>
    <w:rsid w:val="00ED3853"/>
    <w:rsid w:val="00ED501C"/>
    <w:rsid w:val="00ED7848"/>
    <w:rsid w:val="00F07022"/>
    <w:rsid w:val="00F1119E"/>
    <w:rsid w:val="00F26635"/>
    <w:rsid w:val="00F26DCD"/>
    <w:rsid w:val="00F33E30"/>
    <w:rsid w:val="00F35A34"/>
    <w:rsid w:val="00F40882"/>
    <w:rsid w:val="00F43559"/>
    <w:rsid w:val="00F50B2F"/>
    <w:rsid w:val="00F5789B"/>
    <w:rsid w:val="00F75AAB"/>
    <w:rsid w:val="00F75C76"/>
    <w:rsid w:val="00FC720B"/>
    <w:rsid w:val="00FD2201"/>
    <w:rsid w:val="00FE3FE9"/>
    <w:rsid w:val="00FE6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62FB6"/>
  <w15:chartTrackingRefBased/>
  <w15:docId w15:val="{54012D8C-14FE-4AB7-95AD-379E986E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pPr>
      <w:numPr>
        <w:numId w:val="18"/>
      </w:numPr>
      <w:spacing w:before="120" w:after="120" w:line="500" w:lineRule="exact"/>
      <w:jc w:val="both"/>
    </w:pPr>
    <w:rPr>
      <w:kern w:val="28"/>
    </w:rPr>
  </w:style>
  <w:style w:type="paragraph" w:customStyle="1" w:styleId="Citationenretrait">
    <w:name w:val="Citation en retrait"/>
    <w:basedOn w:val="Normal"/>
    <w:qFormat/>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Footnote Text Char2,Footnote Text Char1 Char,Footnote Text Char Char Char, Char1 Char1 Char Char, Char1 Char2 Char,Footnote Text Char Char1, Char1 Char1 Char1, Char1 Char3,fn,Char1 Char1 Char Char,Char1 Char2 Char,Char1 Char1 Char1"/>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semiHidden/>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styleId="Marquedecommentaire">
    <w:name w:val="annotation reference"/>
    <w:basedOn w:val="Policepardfaut"/>
    <w:uiPriority w:val="99"/>
    <w:semiHidden/>
    <w:unhideWhenUsed/>
    <w:rsid w:val="00370630"/>
    <w:rPr>
      <w:sz w:val="16"/>
      <w:szCs w:val="16"/>
    </w:rPr>
  </w:style>
  <w:style w:type="paragraph" w:styleId="Commentaire">
    <w:name w:val="annotation text"/>
    <w:basedOn w:val="Normal"/>
    <w:link w:val="CommentaireCar"/>
    <w:uiPriority w:val="99"/>
    <w:unhideWhenUsed/>
    <w:rsid w:val="00370630"/>
    <w:pPr>
      <w:spacing w:line="240" w:lineRule="auto"/>
    </w:pPr>
    <w:rPr>
      <w:sz w:val="20"/>
    </w:rPr>
  </w:style>
  <w:style w:type="character" w:customStyle="1" w:styleId="CommentaireCar">
    <w:name w:val="Commentaire Car"/>
    <w:basedOn w:val="Policepardfaut"/>
    <w:link w:val="Commentaire"/>
    <w:uiPriority w:val="99"/>
    <w:rsid w:val="00370630"/>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370630"/>
    <w:rPr>
      <w:b/>
      <w:bCs/>
    </w:rPr>
  </w:style>
  <w:style w:type="character" w:customStyle="1" w:styleId="ObjetducommentaireCar">
    <w:name w:val="Objet du commentaire Car"/>
    <w:basedOn w:val="CommentaireCar"/>
    <w:link w:val="Objetducommentaire"/>
    <w:uiPriority w:val="99"/>
    <w:semiHidden/>
    <w:rsid w:val="00370630"/>
    <w:rPr>
      <w:rFonts w:ascii="Arial" w:hAnsi="Arial"/>
      <w:b/>
      <w:bCs/>
      <w:lang w:eastAsia="fr-FR"/>
    </w:rPr>
  </w:style>
  <w:style w:type="paragraph" w:styleId="Rvision">
    <w:name w:val="Revision"/>
    <w:hidden/>
    <w:uiPriority w:val="99"/>
    <w:semiHidden/>
    <w:rsid w:val="009673BB"/>
    <w:rPr>
      <w:rFonts w:ascii="Arial" w:hAnsi="Arial"/>
      <w:sz w:val="24"/>
      <w:lang w:eastAsia="fr-FR"/>
    </w:rPr>
  </w:style>
  <w:style w:type="character" w:styleId="Hyperlien">
    <w:name w:val="Hyperlink"/>
    <w:basedOn w:val="Policepardfaut"/>
    <w:uiPriority w:val="99"/>
    <w:unhideWhenUsed/>
    <w:rsid w:val="003E05D3"/>
    <w:rPr>
      <w:color w:val="0563C1" w:themeColor="hyperlink"/>
      <w:u w:val="single"/>
    </w:rPr>
  </w:style>
  <w:style w:type="character" w:styleId="Mentionnonrsolue">
    <w:name w:val="Unresolved Mention"/>
    <w:basedOn w:val="Policepardfaut"/>
    <w:uiPriority w:val="99"/>
    <w:semiHidden/>
    <w:unhideWhenUsed/>
    <w:rsid w:val="003E05D3"/>
    <w:rPr>
      <w:color w:val="605E5C"/>
      <w:shd w:val="clear" w:color="auto" w:fill="E1DFDD"/>
    </w:rPr>
  </w:style>
  <w:style w:type="paragraph" w:customStyle="1" w:styleId="paragrdouble">
    <w:name w:val="paragrdouble"/>
    <w:basedOn w:val="Normal"/>
    <w:rsid w:val="003E05D3"/>
    <w:pPr>
      <w:spacing w:before="100" w:beforeAutospacing="1" w:after="100" w:afterAutospacing="1" w:line="240" w:lineRule="auto"/>
    </w:pPr>
    <w:rPr>
      <w:rFonts w:ascii="Times New Roman" w:hAnsi="Times New Roman"/>
      <w:szCs w:val="24"/>
      <w:lang w:eastAsia="fr-CA"/>
    </w:rPr>
  </w:style>
  <w:style w:type="paragraph" w:customStyle="1" w:styleId="ReasonsNumbering-AltN">
    <w:name w:val="Reasons Numbering - Alt N"/>
    <w:basedOn w:val="Normal"/>
    <w:rsid w:val="003E05D3"/>
    <w:pPr>
      <w:spacing w:after="480" w:line="480" w:lineRule="auto"/>
      <w:jc w:val="both"/>
    </w:pPr>
    <w:rPr>
      <w:rFonts w:ascii="Times New Roman" w:hAnsi="Times New Roman"/>
      <w:szCs w:val="24"/>
      <w:lang w:eastAsia="fr-CA"/>
    </w:rPr>
  </w:style>
  <w:style w:type="character" w:customStyle="1" w:styleId="NotedebasdepageCar">
    <w:name w:val="Note de bas de page Car"/>
    <w:aliases w:val="Footnote Text Char2 Car,Footnote Text Char1 Char Car,Footnote Text Char Char Char Car, Char1 Char1 Char Char Car, Char1 Char2 Char Car,Footnote Text Char Char1 Car, Char1 Char1 Char1 Car, Char1 Char3 Car,fn Car"/>
    <w:basedOn w:val="Policepardfaut"/>
    <w:link w:val="Notedebasdepage"/>
    <w:rsid w:val="003E05D3"/>
    <w:rPr>
      <w:rFonts w:ascii="Arial" w:hAnsi="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25</Pages>
  <Words>8160</Words>
  <Characters>44880</Characters>
  <Application>Microsoft Office Word</Application>
  <DocSecurity>0</DocSecurity>
  <Lines>374</Lines>
  <Paragraphs>105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 Stromei</dc:creator>
  <cp:keywords/>
  <dc:description/>
  <cp:lastModifiedBy>Paillé, Pryscilla</cp:lastModifiedBy>
  <cp:revision>10</cp:revision>
  <cp:lastPrinted>2026-05-28T14:15:00Z</cp:lastPrinted>
  <dcterms:created xsi:type="dcterms:W3CDTF">2026-05-28T12:30:00Z</dcterms:created>
  <dcterms:modified xsi:type="dcterms:W3CDTF">2026-06-02T19:39:00Z</dcterms:modified>
</cp:coreProperties>
</file>