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5" w:type="dxa"/>
        <w:tblLayout w:type="fixed"/>
        <w:tblCellMar>
          <w:left w:w="70" w:type="dxa"/>
          <w:right w:w="70" w:type="dxa"/>
        </w:tblCellMar>
        <w:tblLook w:val="0000" w:firstRow="0" w:lastRow="0" w:firstColumn="0" w:lastColumn="0" w:noHBand="0" w:noVBand="0"/>
      </w:tblPr>
      <w:tblGrid>
        <w:gridCol w:w="1036"/>
        <w:gridCol w:w="69"/>
        <w:gridCol w:w="510"/>
        <w:gridCol w:w="937"/>
        <w:gridCol w:w="4538"/>
        <w:gridCol w:w="2415"/>
      </w:tblGrid>
      <w:tr w:rsidR="00FC29A9" w14:paraId="7B5A44A4" w14:textId="77777777">
        <w:trPr>
          <w:trHeight w:val="360"/>
        </w:trPr>
        <w:tc>
          <w:tcPr>
            <w:tcW w:w="7090" w:type="dxa"/>
            <w:gridSpan w:val="5"/>
          </w:tcPr>
          <w:p w14:paraId="617498FB" w14:textId="69286029" w:rsidR="00121A72" w:rsidRPr="00EB0915" w:rsidRDefault="00EB0915" w:rsidP="00EB0915">
            <w:pPr>
              <w:pStyle w:val="zSoquijdatRepertorie"/>
              <w:rPr>
                <w:rFonts w:cs="Arial"/>
              </w:rPr>
            </w:pPr>
            <w:r>
              <w:rPr>
                <w:rFonts w:cs="Arial"/>
                <w:lang w:eastAsia="fr-CA"/>
              </w:rPr>
              <w:t>Clinique Juridique Itinérante c. Ville de Montréal</w:t>
            </w:r>
          </w:p>
        </w:tc>
        <w:tc>
          <w:tcPr>
            <w:tcW w:w="2415" w:type="dxa"/>
          </w:tcPr>
          <w:p w14:paraId="511DB29E" w14:textId="382FBB81" w:rsidR="00121A72" w:rsidRPr="00D8331A" w:rsidRDefault="00D8331A" w:rsidP="00D8331A">
            <w:pPr>
              <w:pStyle w:val="zSoquijdatRefNeutre"/>
              <w:jc w:val="right"/>
              <w:rPr>
                <w:rFonts w:cs="Arial"/>
              </w:rPr>
            </w:pPr>
            <w:r w:rsidRPr="00D8331A">
              <w:rPr>
                <w:rFonts w:cs="Arial"/>
              </w:rPr>
              <w:t>2026 QCCS 2069</w:t>
            </w:r>
          </w:p>
        </w:tc>
      </w:tr>
      <w:tr w:rsidR="00FC29A9" w14:paraId="44BF6086" w14:textId="77777777">
        <w:trPr>
          <w:trHeight w:val="900"/>
        </w:trPr>
        <w:tc>
          <w:tcPr>
            <w:tcW w:w="9505" w:type="dxa"/>
            <w:gridSpan w:val="6"/>
            <w:vAlign w:val="bottom"/>
          </w:tcPr>
          <w:p w14:paraId="51084156" w14:textId="77777777" w:rsidR="00121A72" w:rsidRPr="00DE0415" w:rsidRDefault="00226EF5" w:rsidP="00D26929">
            <w:pPr>
              <w:pStyle w:val="zSoquijlblCour"/>
            </w:pPr>
            <w:r w:rsidRPr="00DE0415">
              <w:t>COUR SUPÉRIEURE</w:t>
            </w:r>
          </w:p>
        </w:tc>
      </w:tr>
      <w:tr w:rsidR="00FC29A9" w14:paraId="3FE65AF6" w14:textId="77777777">
        <w:trPr>
          <w:trHeight w:val="540"/>
        </w:trPr>
        <w:tc>
          <w:tcPr>
            <w:tcW w:w="9505" w:type="dxa"/>
            <w:gridSpan w:val="6"/>
          </w:tcPr>
          <w:p w14:paraId="7CE6DE2D" w14:textId="77777777" w:rsidR="00121A72" w:rsidRPr="00DE0415" w:rsidRDefault="00121A72" w:rsidP="00D26929">
            <w:pPr>
              <w:pStyle w:val="zSoquijdatDivision"/>
            </w:pPr>
          </w:p>
        </w:tc>
      </w:tr>
      <w:tr w:rsidR="00FC29A9" w14:paraId="3CF68672" w14:textId="77777777">
        <w:tc>
          <w:tcPr>
            <w:tcW w:w="9505" w:type="dxa"/>
            <w:gridSpan w:val="6"/>
          </w:tcPr>
          <w:p w14:paraId="033C5787" w14:textId="77777777" w:rsidR="00121A72" w:rsidRPr="00DE0415" w:rsidRDefault="00226EF5" w:rsidP="00D26929">
            <w:pPr>
              <w:pStyle w:val="zSoquijlblPays"/>
            </w:pPr>
            <w:r w:rsidRPr="00DE0415">
              <w:t>CANADA</w:t>
            </w:r>
          </w:p>
        </w:tc>
      </w:tr>
      <w:tr w:rsidR="00FC29A9" w14:paraId="40E1D8C9" w14:textId="77777777">
        <w:tc>
          <w:tcPr>
            <w:tcW w:w="9505" w:type="dxa"/>
            <w:gridSpan w:val="6"/>
          </w:tcPr>
          <w:p w14:paraId="5890AA4B" w14:textId="77777777" w:rsidR="00121A72" w:rsidRPr="00DE0415" w:rsidRDefault="00226EF5" w:rsidP="00D26929">
            <w:pPr>
              <w:pStyle w:val="zSoquijlblProvince"/>
            </w:pPr>
            <w:r w:rsidRPr="00DE0415">
              <w:t xml:space="preserve">PROVINCE </w:t>
            </w:r>
            <w:r w:rsidR="00307F1B" w:rsidRPr="00DE0415">
              <w:t xml:space="preserve">DE </w:t>
            </w:r>
            <w:r w:rsidRPr="00DE0415">
              <w:t>QUÉBEC</w:t>
            </w:r>
          </w:p>
        </w:tc>
      </w:tr>
      <w:tr w:rsidR="00FC29A9" w14:paraId="74206837" w14:textId="77777777">
        <w:tblPrEx>
          <w:tblCellMar>
            <w:left w:w="0" w:type="dxa"/>
            <w:right w:w="0" w:type="dxa"/>
          </w:tblCellMar>
        </w:tblPrEx>
        <w:trPr>
          <w:cantSplit/>
        </w:trPr>
        <w:tc>
          <w:tcPr>
            <w:tcW w:w="1615" w:type="dxa"/>
            <w:gridSpan w:val="3"/>
          </w:tcPr>
          <w:p w14:paraId="3346732F" w14:textId="77777777" w:rsidR="00121A72" w:rsidRPr="00DE0415" w:rsidRDefault="00226EF5" w:rsidP="00D26929">
            <w:pPr>
              <w:pStyle w:val="zSoquijlblGreffe"/>
            </w:pPr>
            <w:r w:rsidRPr="00DE0415">
              <w:t xml:space="preserve">DISTRICT </w:t>
            </w:r>
            <w:r w:rsidR="00307F1B" w:rsidRPr="00DE0415">
              <w:t>DE</w:t>
            </w:r>
          </w:p>
        </w:tc>
        <w:tc>
          <w:tcPr>
            <w:tcW w:w="7890" w:type="dxa"/>
            <w:gridSpan w:val="3"/>
          </w:tcPr>
          <w:p w14:paraId="30BD9596" w14:textId="77777777" w:rsidR="00121A72" w:rsidRPr="00DE0415" w:rsidRDefault="00226EF5" w:rsidP="00D26929">
            <w:pPr>
              <w:pStyle w:val="zSoquijdatGreffe"/>
            </w:pPr>
            <w:r w:rsidRPr="00DE0415">
              <w:t>MONTRÉAL</w:t>
            </w:r>
          </w:p>
        </w:tc>
      </w:tr>
      <w:tr w:rsidR="00FC29A9" w14:paraId="4B390AD2" w14:textId="77777777">
        <w:trPr>
          <w:trHeight w:val="540"/>
        </w:trPr>
        <w:tc>
          <w:tcPr>
            <w:tcW w:w="9505" w:type="dxa"/>
            <w:gridSpan w:val="6"/>
          </w:tcPr>
          <w:p w14:paraId="1A4B062F" w14:textId="77777777" w:rsidR="00121A72" w:rsidRPr="00DE0415" w:rsidRDefault="00121A72" w:rsidP="00D26929">
            <w:pPr>
              <w:pStyle w:val="zSoquijlblNomChambre"/>
            </w:pPr>
          </w:p>
        </w:tc>
      </w:tr>
      <w:tr w:rsidR="00FC29A9" w14:paraId="0FBD9446" w14:textId="77777777">
        <w:tc>
          <w:tcPr>
            <w:tcW w:w="1105" w:type="dxa"/>
            <w:gridSpan w:val="2"/>
          </w:tcPr>
          <w:p w14:paraId="6660FAA5" w14:textId="77777777" w:rsidR="00121A72" w:rsidRPr="00DE0415" w:rsidRDefault="00226EF5" w:rsidP="00D26929">
            <w:pPr>
              <w:pStyle w:val="zSoquijlblNoDossier"/>
            </w:pPr>
            <w:r w:rsidRPr="00DE0415">
              <w:t>N</w:t>
            </w:r>
            <w:r w:rsidR="008A7DDE" w:rsidRPr="00DE0415">
              <w:rPr>
                <w:vertAlign w:val="superscript"/>
              </w:rPr>
              <w:t>°</w:t>
            </w:r>
            <w:r w:rsidRPr="00DE0415">
              <w:t xml:space="preserve">  :</w:t>
            </w:r>
          </w:p>
        </w:tc>
        <w:tc>
          <w:tcPr>
            <w:tcW w:w="8400" w:type="dxa"/>
            <w:gridSpan w:val="4"/>
          </w:tcPr>
          <w:p w14:paraId="317C7C69" w14:textId="77777777" w:rsidR="00121A72" w:rsidRPr="00DE0415" w:rsidRDefault="00226EF5" w:rsidP="009E7E11">
            <w:pPr>
              <w:pStyle w:val="zSoquijdatNoDossier"/>
              <w:ind w:left="-69"/>
            </w:pPr>
            <w:r w:rsidRPr="00DE0415">
              <w:rPr>
                <w:lang w:val="fr-FR"/>
              </w:rPr>
              <w:t>500-17-138478-261</w:t>
            </w:r>
          </w:p>
        </w:tc>
      </w:tr>
      <w:tr w:rsidR="00FC29A9" w14:paraId="4294F091" w14:textId="77777777">
        <w:tblPrEx>
          <w:tblCellMar>
            <w:left w:w="0" w:type="dxa"/>
            <w:right w:w="0" w:type="dxa"/>
          </w:tblCellMar>
        </w:tblPrEx>
        <w:trPr>
          <w:cantSplit/>
        </w:trPr>
        <w:tc>
          <w:tcPr>
            <w:tcW w:w="1105" w:type="dxa"/>
            <w:gridSpan w:val="2"/>
          </w:tcPr>
          <w:p w14:paraId="76EE09E2" w14:textId="77777777" w:rsidR="00121A72" w:rsidRPr="00DE0415" w:rsidRDefault="00121A72" w:rsidP="00D26929">
            <w:pPr>
              <w:pStyle w:val="zSoquijlblGreffe"/>
            </w:pPr>
          </w:p>
        </w:tc>
        <w:tc>
          <w:tcPr>
            <w:tcW w:w="8400" w:type="dxa"/>
            <w:gridSpan w:val="4"/>
          </w:tcPr>
          <w:p w14:paraId="24FE15BE" w14:textId="77777777" w:rsidR="00121A72" w:rsidRPr="00DE0415" w:rsidRDefault="00121A72" w:rsidP="00D26929">
            <w:pPr>
              <w:pStyle w:val="zSoquijdatNoDossierAnt"/>
            </w:pPr>
          </w:p>
        </w:tc>
      </w:tr>
      <w:tr w:rsidR="00FC29A9" w14:paraId="639AFB34" w14:textId="77777777">
        <w:trPr>
          <w:cantSplit/>
          <w:trHeight w:val="235"/>
        </w:trPr>
        <w:tc>
          <w:tcPr>
            <w:tcW w:w="9505" w:type="dxa"/>
            <w:gridSpan w:val="6"/>
          </w:tcPr>
          <w:p w14:paraId="66DDBCA5" w14:textId="77777777" w:rsidR="00121A72" w:rsidRPr="00DE0415" w:rsidRDefault="00121A72" w:rsidP="00D26929"/>
        </w:tc>
      </w:tr>
      <w:tr w:rsidR="00FC29A9" w14:paraId="4FFA84B8" w14:textId="77777777">
        <w:tc>
          <w:tcPr>
            <w:tcW w:w="1036" w:type="dxa"/>
          </w:tcPr>
          <w:p w14:paraId="4BA3DDFF" w14:textId="77777777" w:rsidR="00121A72" w:rsidRPr="00DE0415" w:rsidRDefault="00226EF5" w:rsidP="00D26929">
            <w:pPr>
              <w:pStyle w:val="zSoquijlblDateJugement"/>
            </w:pPr>
            <w:r w:rsidRPr="00DE0415">
              <w:t>DATE :</w:t>
            </w:r>
          </w:p>
        </w:tc>
        <w:tc>
          <w:tcPr>
            <w:tcW w:w="8469" w:type="dxa"/>
            <w:gridSpan w:val="5"/>
          </w:tcPr>
          <w:p w14:paraId="68884CE3" w14:textId="77777777" w:rsidR="00121A72" w:rsidRPr="00DE0415" w:rsidRDefault="00226EF5" w:rsidP="00D26929">
            <w:pPr>
              <w:pStyle w:val="zSoquijdatDateJugement"/>
            </w:pPr>
            <w:r w:rsidRPr="00DE0415">
              <w:t>8</w:t>
            </w:r>
            <w:r w:rsidR="00963718" w:rsidRPr="00DE0415">
              <w:t xml:space="preserve"> juin 2026</w:t>
            </w:r>
          </w:p>
        </w:tc>
      </w:tr>
      <w:tr w:rsidR="00FC29A9" w14:paraId="3437A8EB" w14:textId="77777777">
        <w:tc>
          <w:tcPr>
            <w:tcW w:w="9505" w:type="dxa"/>
            <w:gridSpan w:val="6"/>
          </w:tcPr>
          <w:p w14:paraId="58C26208" w14:textId="77777777" w:rsidR="00121A72" w:rsidRPr="00DE0415" w:rsidRDefault="00226EF5" w:rsidP="00D26929">
            <w:pPr>
              <w:ind w:left="14" w:right="-67"/>
            </w:pPr>
            <w:r w:rsidRPr="00DE0415">
              <w:t>______________________________________________________________________</w:t>
            </w:r>
          </w:p>
        </w:tc>
      </w:tr>
      <w:tr w:rsidR="00FC29A9" w14:paraId="0D1C7AAC" w14:textId="77777777">
        <w:tc>
          <w:tcPr>
            <w:tcW w:w="9505" w:type="dxa"/>
            <w:gridSpan w:val="6"/>
          </w:tcPr>
          <w:p w14:paraId="56581B4F" w14:textId="77777777" w:rsidR="00121A72" w:rsidRPr="00DE0415" w:rsidRDefault="00121A72" w:rsidP="00D26929"/>
        </w:tc>
      </w:tr>
      <w:tr w:rsidR="00FC29A9" w14:paraId="1BBD2C1E" w14:textId="77777777" w:rsidTr="00307F1B">
        <w:tblPrEx>
          <w:tblCellMar>
            <w:left w:w="0" w:type="dxa"/>
            <w:right w:w="0" w:type="dxa"/>
          </w:tblCellMar>
        </w:tblPrEx>
        <w:tc>
          <w:tcPr>
            <w:tcW w:w="2552" w:type="dxa"/>
            <w:gridSpan w:val="4"/>
          </w:tcPr>
          <w:p w14:paraId="189ACB37" w14:textId="77777777" w:rsidR="00307F1B" w:rsidRPr="00DE0415" w:rsidRDefault="00226EF5" w:rsidP="00D26929">
            <w:pPr>
              <w:pStyle w:val="zSoquijdatQteJuge"/>
            </w:pPr>
            <w:r w:rsidRPr="00DE0415">
              <w:t>PAR L'HONORABLE</w:t>
            </w:r>
          </w:p>
        </w:tc>
        <w:tc>
          <w:tcPr>
            <w:tcW w:w="6953" w:type="dxa"/>
            <w:gridSpan w:val="2"/>
          </w:tcPr>
          <w:p w14:paraId="0572AF56" w14:textId="77777777" w:rsidR="00307F1B" w:rsidRPr="00DE0415" w:rsidRDefault="00226EF5" w:rsidP="00D26929">
            <w:pPr>
              <w:pStyle w:val="zSoquijdatJuge"/>
            </w:pPr>
            <w:r w:rsidRPr="00DE0415">
              <w:t>Alexander Pless, J.C.S.</w:t>
            </w:r>
          </w:p>
        </w:tc>
      </w:tr>
      <w:tr w:rsidR="00FC29A9" w14:paraId="463C62D8" w14:textId="77777777">
        <w:tc>
          <w:tcPr>
            <w:tcW w:w="9505" w:type="dxa"/>
            <w:gridSpan w:val="6"/>
          </w:tcPr>
          <w:p w14:paraId="43524561" w14:textId="77777777" w:rsidR="00121A72" w:rsidRPr="00DE0415" w:rsidRDefault="00226EF5" w:rsidP="00D26929">
            <w:pPr>
              <w:ind w:left="14" w:right="-67"/>
            </w:pPr>
            <w:r w:rsidRPr="00DE0415">
              <w:t>______________________________________________________________________</w:t>
            </w:r>
          </w:p>
        </w:tc>
      </w:tr>
      <w:tr w:rsidR="00FC29A9" w14:paraId="08A751BA" w14:textId="77777777">
        <w:tc>
          <w:tcPr>
            <w:tcW w:w="9505" w:type="dxa"/>
            <w:gridSpan w:val="6"/>
          </w:tcPr>
          <w:p w14:paraId="15A8D2AF" w14:textId="77777777" w:rsidR="00121A72" w:rsidRPr="00DE0415" w:rsidRDefault="00121A72" w:rsidP="00D26929">
            <w:pPr>
              <w:pStyle w:val="zSoquijlblTitrePartie"/>
            </w:pPr>
          </w:p>
        </w:tc>
      </w:tr>
      <w:tr w:rsidR="00FC29A9" w14:paraId="4261A028" w14:textId="77777777">
        <w:tc>
          <w:tcPr>
            <w:tcW w:w="9505" w:type="dxa"/>
            <w:gridSpan w:val="6"/>
          </w:tcPr>
          <w:p w14:paraId="15F7115B" w14:textId="77777777" w:rsidR="00121A72" w:rsidRPr="00DE0415" w:rsidRDefault="00121A72" w:rsidP="00D26929"/>
        </w:tc>
      </w:tr>
      <w:tr w:rsidR="00FC29A9" w14:paraId="4FC9FAAC" w14:textId="77777777">
        <w:tc>
          <w:tcPr>
            <w:tcW w:w="9505" w:type="dxa"/>
            <w:gridSpan w:val="6"/>
          </w:tcPr>
          <w:p w14:paraId="3649FF0A" w14:textId="77777777" w:rsidR="00121A72" w:rsidRPr="00DE0415" w:rsidRDefault="00226EF5" w:rsidP="00D26929">
            <w:pPr>
              <w:pStyle w:val="zSoquijdatNomPartieDem"/>
            </w:pPr>
            <w:r w:rsidRPr="00DE0415">
              <w:t>CLINIQUE JURIDIQUE ITINÉRANTE</w:t>
            </w:r>
          </w:p>
        </w:tc>
      </w:tr>
      <w:tr w:rsidR="00FC29A9" w14:paraId="7F7E2F80" w14:textId="77777777">
        <w:tc>
          <w:tcPr>
            <w:tcW w:w="9505" w:type="dxa"/>
            <w:gridSpan w:val="6"/>
          </w:tcPr>
          <w:p w14:paraId="12A282BC" w14:textId="77777777" w:rsidR="00121A72" w:rsidRPr="00DE0415" w:rsidRDefault="00226EF5" w:rsidP="00D26929">
            <w:pPr>
              <w:pStyle w:val="zSoquijdatQtePartieDem"/>
            </w:pPr>
            <w:r w:rsidRPr="00DE0415">
              <w:t>Demandeur</w:t>
            </w:r>
          </w:p>
        </w:tc>
      </w:tr>
      <w:tr w:rsidR="00FC29A9" w14:paraId="0D5BEBA1" w14:textId="77777777">
        <w:tc>
          <w:tcPr>
            <w:tcW w:w="9505" w:type="dxa"/>
            <w:gridSpan w:val="6"/>
          </w:tcPr>
          <w:p w14:paraId="26F12D19" w14:textId="77777777" w:rsidR="00121A72" w:rsidRPr="00DE0415" w:rsidRDefault="00226EF5" w:rsidP="00D26929">
            <w:pPr>
              <w:pStyle w:val="zSoquijlblLienParties"/>
            </w:pPr>
            <w:r w:rsidRPr="00DE0415">
              <w:t>c.</w:t>
            </w:r>
          </w:p>
        </w:tc>
      </w:tr>
      <w:tr w:rsidR="00FC29A9" w14:paraId="2099FC5B" w14:textId="77777777">
        <w:tc>
          <w:tcPr>
            <w:tcW w:w="9505" w:type="dxa"/>
            <w:gridSpan w:val="6"/>
          </w:tcPr>
          <w:p w14:paraId="1A6B4746" w14:textId="77777777" w:rsidR="00121A72" w:rsidRPr="00DE0415" w:rsidRDefault="00226EF5" w:rsidP="00D26929">
            <w:pPr>
              <w:pStyle w:val="zSoquijdatNomPartieDef"/>
            </w:pPr>
            <w:r w:rsidRPr="00DE0415">
              <w:t>VILLE DE MONTRÉAL</w:t>
            </w:r>
          </w:p>
        </w:tc>
      </w:tr>
      <w:tr w:rsidR="00FC29A9" w14:paraId="2D741960" w14:textId="77777777">
        <w:tc>
          <w:tcPr>
            <w:tcW w:w="9505" w:type="dxa"/>
            <w:gridSpan w:val="6"/>
          </w:tcPr>
          <w:p w14:paraId="4E73042D" w14:textId="77777777" w:rsidR="00121A72" w:rsidRPr="00DE0415" w:rsidRDefault="00226EF5" w:rsidP="00D26929">
            <w:pPr>
              <w:pStyle w:val="zSoquijdatQtePartieDef"/>
            </w:pPr>
            <w:r w:rsidRPr="00DE0415">
              <w:t>Défenderesse</w:t>
            </w:r>
            <w:r w:rsidR="006B7AA9" w:rsidRPr="00DE0415">
              <w:t xml:space="preserve"> </w:t>
            </w:r>
          </w:p>
        </w:tc>
      </w:tr>
      <w:tr w:rsidR="00FC29A9" w14:paraId="0B2A5B52" w14:textId="77777777">
        <w:tc>
          <w:tcPr>
            <w:tcW w:w="9505" w:type="dxa"/>
            <w:gridSpan w:val="6"/>
          </w:tcPr>
          <w:p w14:paraId="59FE4859" w14:textId="77777777" w:rsidR="00121A72" w:rsidRPr="00DE0415" w:rsidRDefault="00121A72" w:rsidP="00D26929">
            <w:pPr>
              <w:ind w:left="14" w:right="-95"/>
            </w:pPr>
          </w:p>
        </w:tc>
      </w:tr>
      <w:tr w:rsidR="00FC29A9" w14:paraId="198DA2D5" w14:textId="77777777">
        <w:tc>
          <w:tcPr>
            <w:tcW w:w="9505" w:type="dxa"/>
            <w:gridSpan w:val="6"/>
          </w:tcPr>
          <w:p w14:paraId="72FE1C39" w14:textId="77777777" w:rsidR="00121A72" w:rsidRPr="00DE0415" w:rsidRDefault="00226EF5" w:rsidP="00D26929">
            <w:pPr>
              <w:ind w:left="14" w:right="-95"/>
            </w:pPr>
            <w:r w:rsidRPr="00DE0415">
              <w:t>______________________________________________________________________</w:t>
            </w:r>
          </w:p>
        </w:tc>
      </w:tr>
      <w:tr w:rsidR="00FC29A9" w14:paraId="194633FE" w14:textId="77777777">
        <w:tc>
          <w:tcPr>
            <w:tcW w:w="9505" w:type="dxa"/>
            <w:gridSpan w:val="6"/>
          </w:tcPr>
          <w:p w14:paraId="69AC7D0C" w14:textId="77777777" w:rsidR="00121A72" w:rsidRPr="00DE0415" w:rsidRDefault="00121A72" w:rsidP="00D26929">
            <w:pPr>
              <w:jc w:val="center"/>
            </w:pPr>
          </w:p>
        </w:tc>
      </w:tr>
      <w:tr w:rsidR="00FC29A9" w14:paraId="4ED23327" w14:textId="77777777">
        <w:tc>
          <w:tcPr>
            <w:tcW w:w="9505" w:type="dxa"/>
            <w:gridSpan w:val="6"/>
          </w:tcPr>
          <w:p w14:paraId="354549B3" w14:textId="77777777" w:rsidR="00121A72" w:rsidRDefault="00226EF5" w:rsidP="00D26929">
            <w:pPr>
              <w:pStyle w:val="zSoquijlblTypeDocument"/>
            </w:pPr>
            <w:r w:rsidRPr="00DE0415">
              <w:t>JUGEMENT</w:t>
            </w:r>
            <w:r w:rsidR="000E1738">
              <w:t xml:space="preserve"> </w:t>
            </w:r>
          </w:p>
          <w:p w14:paraId="3E293B3C" w14:textId="77777777" w:rsidR="000E1738" w:rsidRPr="00DE0415" w:rsidRDefault="00226EF5" w:rsidP="00D26929">
            <w:pPr>
              <w:pStyle w:val="zSoquijlblTypeDocument"/>
            </w:pPr>
            <w:r>
              <w:t>(</w:t>
            </w:r>
            <w:r w:rsidR="00A40F40" w:rsidRPr="00A40F40">
              <w:t>traduction non</w:t>
            </w:r>
            <w:r w:rsidR="00A40F40">
              <w:t>-</w:t>
            </w:r>
            <w:r w:rsidR="00A40F40" w:rsidRPr="00A40F40">
              <w:t>officielle</w:t>
            </w:r>
            <w:r>
              <w:t>)</w:t>
            </w:r>
          </w:p>
        </w:tc>
      </w:tr>
      <w:tr w:rsidR="00FC29A9" w14:paraId="5A2DCE48" w14:textId="77777777">
        <w:tc>
          <w:tcPr>
            <w:tcW w:w="9505" w:type="dxa"/>
            <w:gridSpan w:val="6"/>
          </w:tcPr>
          <w:p w14:paraId="71014E82" w14:textId="77777777" w:rsidR="00121A72" w:rsidRPr="00DE0415" w:rsidRDefault="00226EF5" w:rsidP="00D26929">
            <w:pPr>
              <w:ind w:left="14" w:right="-70"/>
            </w:pPr>
            <w:r w:rsidRPr="00DE0415">
              <w:t>______________________________________________________________________</w:t>
            </w:r>
          </w:p>
        </w:tc>
      </w:tr>
      <w:tr w:rsidR="00FC29A9" w14:paraId="46F3B2B4" w14:textId="77777777">
        <w:tc>
          <w:tcPr>
            <w:tcW w:w="9505" w:type="dxa"/>
            <w:gridSpan w:val="6"/>
          </w:tcPr>
          <w:p w14:paraId="2A4F8024" w14:textId="77777777" w:rsidR="00121A72" w:rsidRPr="00DE0415" w:rsidRDefault="00121A72" w:rsidP="00D26929"/>
        </w:tc>
      </w:tr>
    </w:tbl>
    <w:p w14:paraId="0E1B8420" w14:textId="77777777" w:rsidR="0085062A" w:rsidRPr="00DE0415" w:rsidRDefault="0085062A" w:rsidP="000F378F">
      <w:pPr>
        <w:tabs>
          <w:tab w:val="right" w:leader="dot" w:pos="9352"/>
        </w:tabs>
        <w:ind w:left="240"/>
        <w:rPr>
          <w:noProof/>
        </w:rPr>
      </w:pPr>
      <w:bookmarkStart w:id="0" w:name="_Toc45807135"/>
      <w:bookmarkStart w:id="1" w:name="_Toc430945543"/>
    </w:p>
    <w:bookmarkEnd w:id="0"/>
    <w:p w14:paraId="50A88635" w14:textId="77777777" w:rsidR="009A7894" w:rsidRPr="00DE0415" w:rsidRDefault="00226EF5" w:rsidP="00546C40">
      <w:pPr>
        <w:pStyle w:val="Titre1"/>
        <w:rPr>
          <w:lang w:val="en-CA"/>
        </w:rPr>
      </w:pPr>
      <w:r w:rsidRPr="00DE0415">
        <w:rPr>
          <w:lang w:val="en-CA"/>
        </w:rPr>
        <w:t>APERÇU</w:t>
      </w:r>
    </w:p>
    <w:p w14:paraId="6C317D23" w14:textId="77777777" w:rsidR="009A7894" w:rsidRPr="00F23C83" w:rsidRDefault="00226EF5" w:rsidP="00546C40">
      <w:pPr>
        <w:pStyle w:val="Paragrsimple"/>
      </w:pPr>
      <w:r w:rsidRPr="00F23C83">
        <w:t>L</w:t>
      </w:r>
      <w:r w:rsidR="00F23C83">
        <w:t>e</w:t>
      </w:r>
      <w:r w:rsidRPr="00F23C83">
        <w:t xml:space="preserve"> </w:t>
      </w:r>
      <w:r w:rsidR="00F23C83" w:rsidRPr="00F23C83">
        <w:t>Tribunal</w:t>
      </w:r>
      <w:r w:rsidRPr="00F23C83">
        <w:t xml:space="preserve"> est </w:t>
      </w:r>
      <w:r w:rsidR="00F23C83" w:rsidRPr="00F23C83">
        <w:t>saisi</w:t>
      </w:r>
      <w:r w:rsidRPr="00F23C83">
        <w:t xml:space="preserve"> d’une demande d’ordonnance de sauvegarde</w:t>
      </w:r>
      <w:r>
        <w:rPr>
          <w:rStyle w:val="Appelnotedebasdep"/>
          <w:lang w:val="en-CA"/>
        </w:rPr>
        <w:footnoteReference w:id="1"/>
      </w:r>
      <w:r w:rsidRPr="00F23C83">
        <w:t xml:space="preserve"> visant à interdire à la Ville de Montréal de prendre des mesures pour </w:t>
      </w:r>
      <w:r w:rsidR="009907B7" w:rsidRPr="00F23C83">
        <w:t xml:space="preserve">démanteler </w:t>
      </w:r>
      <w:r w:rsidR="00D853BA" w:rsidRPr="00F23C83">
        <w:t xml:space="preserve">un </w:t>
      </w:r>
      <w:r w:rsidRPr="00F23C83">
        <w:t xml:space="preserve">campement situé à proximité du parc de planche à roulettes </w:t>
      </w:r>
      <w:r w:rsidR="00D853BA" w:rsidRPr="00F23C83">
        <w:t xml:space="preserve">et du terrain de basket-ball </w:t>
      </w:r>
      <w:r w:rsidRPr="00F23C83">
        <w:t xml:space="preserve">de Van Horne. </w:t>
      </w:r>
    </w:p>
    <w:p w14:paraId="419A9868" w14:textId="77777777" w:rsidR="002E4810" w:rsidRPr="00F23C83" w:rsidRDefault="00226EF5" w:rsidP="002E4810">
      <w:pPr>
        <w:pStyle w:val="Paragrsimple"/>
      </w:pPr>
      <w:r w:rsidRPr="00F23C83">
        <w:lastRenderedPageBreak/>
        <w:t xml:space="preserve">La demande est présentée par </w:t>
      </w:r>
      <w:r w:rsidR="00E64433" w:rsidRPr="00F23C83">
        <w:t xml:space="preserve">la </w:t>
      </w:r>
      <w:r w:rsidRPr="00F23C83">
        <w:t>Clinique Itinérante</w:t>
      </w:r>
      <w:r>
        <w:rPr>
          <w:rStyle w:val="Appelnotedebasdep"/>
          <w:lang w:val="en-CA"/>
        </w:rPr>
        <w:footnoteReference w:id="2"/>
      </w:r>
      <w:r w:rsidR="009907B7" w:rsidRPr="00F23C83">
        <w:t xml:space="preserve"> (« la Clinique »)</w:t>
      </w:r>
      <w:r w:rsidRPr="00F23C83">
        <w:t xml:space="preserve">, </w:t>
      </w:r>
      <w:r w:rsidR="00E64433" w:rsidRPr="00F23C83">
        <w:t xml:space="preserve">une clinique juridique </w:t>
      </w:r>
      <w:r w:rsidRPr="00F23C83">
        <w:t xml:space="preserve">dont la mission est de promouvoir l’accès à la justice pour les personnes démunies, </w:t>
      </w:r>
      <w:r w:rsidR="00015D5D" w:rsidRPr="00F23C83">
        <w:t xml:space="preserve">sans-abri </w:t>
      </w:r>
      <w:r w:rsidRPr="00F23C83">
        <w:t xml:space="preserve">ou marginalisées. </w:t>
      </w:r>
    </w:p>
    <w:p w14:paraId="62D5AED0" w14:textId="77777777" w:rsidR="009A7894" w:rsidRPr="00F23C83" w:rsidRDefault="00226EF5" w:rsidP="002E4810">
      <w:pPr>
        <w:pStyle w:val="Paragrsimple"/>
      </w:pPr>
      <w:r w:rsidRPr="00F23C83">
        <w:t xml:space="preserve">La demande </w:t>
      </w:r>
      <w:r w:rsidR="00927C25" w:rsidRPr="00F23C83">
        <w:t xml:space="preserve">d’ordonnance de sauvegarde </w:t>
      </w:r>
      <w:r w:rsidRPr="00F23C83">
        <w:t xml:space="preserve">s’inscrit dans le cadre d’une demande d’injonction permanente visant à garantir que les dix personnes résidant actuellement dans des tentes autour du </w:t>
      </w:r>
      <w:r w:rsidR="00E64433" w:rsidRPr="00F23C83">
        <w:t xml:space="preserve">parc de planche à roulettes et du terrain de basket </w:t>
      </w:r>
      <w:r w:rsidRPr="00F23C83">
        <w:t xml:space="preserve">puissent y rester indéfiniment. </w:t>
      </w:r>
    </w:p>
    <w:p w14:paraId="3AA04405" w14:textId="77777777" w:rsidR="009A7894" w:rsidRPr="00F23C83" w:rsidRDefault="00226EF5" w:rsidP="00546C40">
      <w:pPr>
        <w:pStyle w:val="Paragrsimple"/>
      </w:pPr>
      <w:r w:rsidRPr="00F23C83">
        <w:t xml:space="preserve">La plupart des résidents du campement vivent au skatepark </w:t>
      </w:r>
      <w:r w:rsidR="00E64433" w:rsidRPr="00F23C83">
        <w:t xml:space="preserve">et au terrain de basket </w:t>
      </w:r>
      <w:r w:rsidRPr="00F23C83">
        <w:t xml:space="preserve">ou à proximité depuis l’automne 2025. Plusieurs d’entre eux avaient auparavant campé sur une propriété voisine, connue sous le nom de </w:t>
      </w:r>
      <w:r w:rsidR="00303595" w:rsidRPr="00F23C83">
        <w:t xml:space="preserve">Champs </w:t>
      </w:r>
      <w:r w:rsidRPr="00F23C83">
        <w:t xml:space="preserve">des possibles, jusqu’à ce que, selon les allégations, la Ville </w:t>
      </w:r>
      <w:r w:rsidR="00E64433" w:rsidRPr="00F23C83">
        <w:t>les oblige à partir</w:t>
      </w:r>
      <w:r w:rsidRPr="00F23C83">
        <w:t xml:space="preserve">. </w:t>
      </w:r>
    </w:p>
    <w:p w14:paraId="315E4138" w14:textId="77777777" w:rsidR="009A7894" w:rsidRPr="00D17873" w:rsidRDefault="00226EF5" w:rsidP="00D17873">
      <w:pPr>
        <w:pStyle w:val="Paragrsimple"/>
        <w:rPr>
          <w:lang w:val="en-CA"/>
        </w:rPr>
      </w:pPr>
      <w:r w:rsidRPr="00F23C83">
        <w:t xml:space="preserve">Au début du mois de mai, la Ville a pris des mesures pour demander aux résidents du campement de déménager. La nature exacte des mesures prises est contestée, mais il n’est pas contesté que les responsables municipaux ont informé certains </w:t>
      </w:r>
      <w:r w:rsidR="003F53CF" w:rsidRPr="00F23C83">
        <w:t xml:space="preserve">résidents qu’ils </w:t>
      </w:r>
      <w:r w:rsidRPr="00F23C83">
        <w:t xml:space="preserve">devaient déménager </w:t>
      </w:r>
      <w:r w:rsidR="00E64433" w:rsidRPr="00F23C83">
        <w:t>au moyen d’un avis affiché le 13 mai 2026 aux alentours du campement</w:t>
      </w:r>
      <w:r>
        <w:rPr>
          <w:rStyle w:val="Appelnotedebasdep"/>
          <w:lang w:val="en-CA"/>
        </w:rPr>
        <w:footnoteReference w:id="3"/>
      </w:r>
      <w:r w:rsidR="00D17873">
        <w:t>.</w:t>
      </w:r>
      <w:r w:rsidRPr="00F23C83">
        <w:t xml:space="preserve"> </w:t>
      </w:r>
      <w:r w:rsidR="00E64433" w:rsidRPr="00D17873">
        <w:t xml:space="preserve">L’avis se lit comme suit : </w:t>
      </w:r>
    </w:p>
    <w:p w14:paraId="07F8CD2D" w14:textId="77777777" w:rsidR="00E64433" w:rsidRPr="00DE0415" w:rsidRDefault="00226EF5" w:rsidP="00E64433">
      <w:pPr>
        <w:pStyle w:val="Citation"/>
        <w:rPr>
          <w:color w:val="auto"/>
        </w:rPr>
      </w:pPr>
      <w:r w:rsidRPr="00DE0415">
        <w:rPr>
          <w:color w:val="auto"/>
        </w:rPr>
        <w:t xml:space="preserve">Pour assurer l’utilisation complète et sécuritaire des installations récréatives situées </w:t>
      </w:r>
      <w:r w:rsidRPr="00DE0415">
        <w:rPr>
          <w:b/>
          <w:bCs/>
          <w:color w:val="auto"/>
        </w:rPr>
        <w:t xml:space="preserve">au parc de planche à roulettes sous </w:t>
      </w:r>
      <w:r w:rsidR="00EB30CC" w:rsidRPr="00DE0415">
        <w:rPr>
          <w:b/>
          <w:bCs/>
          <w:color w:val="auto"/>
        </w:rPr>
        <w:t xml:space="preserve">le viaduc </w:t>
      </w:r>
      <w:r w:rsidRPr="00DE0415">
        <w:rPr>
          <w:b/>
          <w:bCs/>
          <w:color w:val="auto"/>
        </w:rPr>
        <w:t xml:space="preserve">Van Horne </w:t>
      </w:r>
      <w:r w:rsidR="00585997" w:rsidRPr="00DE0415">
        <w:rPr>
          <w:b/>
          <w:bCs/>
          <w:color w:val="auto"/>
        </w:rPr>
        <w:t>(</w:t>
      </w:r>
      <w:r w:rsidRPr="00DE0415">
        <w:rPr>
          <w:b/>
          <w:bCs/>
          <w:color w:val="auto"/>
        </w:rPr>
        <w:t xml:space="preserve">5855, boulevard Saint-Laurent, Montréal </w:t>
      </w:r>
      <w:r w:rsidR="00585997" w:rsidRPr="00DE0415">
        <w:rPr>
          <w:b/>
          <w:bCs/>
          <w:color w:val="auto"/>
        </w:rPr>
        <w:t xml:space="preserve">(Québec) </w:t>
      </w:r>
      <w:r w:rsidRPr="00DE0415">
        <w:rPr>
          <w:b/>
          <w:bCs/>
          <w:color w:val="auto"/>
        </w:rPr>
        <w:t>H2T 1T3</w:t>
      </w:r>
      <w:r w:rsidR="00585997" w:rsidRPr="00DE0415">
        <w:rPr>
          <w:b/>
          <w:bCs/>
          <w:color w:val="auto"/>
        </w:rPr>
        <w:t xml:space="preserve">), </w:t>
      </w:r>
      <w:r w:rsidRPr="00DE0415">
        <w:rPr>
          <w:color w:val="auto"/>
        </w:rPr>
        <w:t xml:space="preserve">tous les campements qui s’y trouvent devront </w:t>
      </w:r>
      <w:r w:rsidR="00585997" w:rsidRPr="00DE0415">
        <w:rPr>
          <w:color w:val="auto"/>
        </w:rPr>
        <w:t xml:space="preserve">être retirés </w:t>
      </w:r>
      <w:r w:rsidRPr="00DE0415">
        <w:rPr>
          <w:color w:val="auto"/>
        </w:rPr>
        <w:t xml:space="preserve">et </w:t>
      </w:r>
      <w:r w:rsidR="00585997" w:rsidRPr="00DE0415">
        <w:rPr>
          <w:color w:val="auto"/>
        </w:rPr>
        <w:t xml:space="preserve">déplacés </w:t>
      </w:r>
      <w:r w:rsidRPr="00DE0415">
        <w:rPr>
          <w:color w:val="auto"/>
        </w:rPr>
        <w:t xml:space="preserve">au plus tard </w:t>
      </w:r>
      <w:r w:rsidRPr="00DE0415">
        <w:rPr>
          <w:b/>
          <w:bCs/>
          <w:color w:val="auto"/>
          <w:u w:val="single"/>
        </w:rPr>
        <w:t>le jeudi 21 mai 2026</w:t>
      </w:r>
      <w:r w:rsidR="00585997" w:rsidRPr="00DE0415">
        <w:rPr>
          <w:b/>
          <w:bCs/>
          <w:color w:val="auto"/>
        </w:rPr>
        <w:t>.</w:t>
      </w:r>
    </w:p>
    <w:p w14:paraId="6EE3E3ED" w14:textId="77777777" w:rsidR="00585997" w:rsidRPr="00DE0415" w:rsidRDefault="00226EF5" w:rsidP="00585997">
      <w:pPr>
        <w:pStyle w:val="Citation"/>
        <w:rPr>
          <w:color w:val="auto"/>
        </w:rPr>
      </w:pPr>
      <w:r w:rsidRPr="00DE0415">
        <w:rPr>
          <w:color w:val="auto"/>
        </w:rPr>
        <w:t>Nous vous invitons à commencer sans tarder à rassembler vos effets personnels et à quitter les lieux dès que possible, sans attendre l’expiration du délai indiqué.</w:t>
      </w:r>
    </w:p>
    <w:p w14:paraId="37ABFE39" w14:textId="77777777" w:rsidR="00585997" w:rsidRPr="00DE0415" w:rsidRDefault="00226EF5" w:rsidP="00585997">
      <w:pPr>
        <w:pStyle w:val="Citation"/>
        <w:rPr>
          <w:b/>
          <w:bCs/>
          <w:color w:val="auto"/>
        </w:rPr>
      </w:pPr>
      <w:r w:rsidRPr="00DE0415">
        <w:rPr>
          <w:b/>
          <w:bCs/>
          <w:color w:val="auto"/>
        </w:rPr>
        <w:t xml:space="preserve">Toutes les installations et tous les effets personnels doivent être retirés avant le </w:t>
      </w:r>
      <w:r w:rsidRPr="00DE0415">
        <w:rPr>
          <w:b/>
          <w:bCs/>
          <w:color w:val="auto"/>
          <w:u w:val="single"/>
        </w:rPr>
        <w:t>jeudi 21 mai 2026 à</w:t>
      </w:r>
      <w:r w:rsidR="003A6D28">
        <w:rPr>
          <w:b/>
          <w:bCs/>
          <w:color w:val="auto"/>
          <w:u w:val="single"/>
        </w:rPr>
        <w:t xml:space="preserve"> 7 h</w:t>
      </w:r>
      <w:r w:rsidRPr="00DE0415">
        <w:rPr>
          <w:b/>
          <w:bCs/>
          <w:color w:val="auto"/>
          <w:u w:val="single"/>
        </w:rPr>
        <w:t xml:space="preserve"> 30</w:t>
      </w:r>
      <w:r w:rsidRPr="00DE0415">
        <w:rPr>
          <w:b/>
          <w:bCs/>
          <w:color w:val="auto"/>
        </w:rPr>
        <w:t xml:space="preserve">, sans exception. </w:t>
      </w:r>
    </w:p>
    <w:p w14:paraId="5C44A5C0" w14:textId="77777777" w:rsidR="00E64433" w:rsidRPr="00DE0415" w:rsidRDefault="00226EF5" w:rsidP="00585997">
      <w:pPr>
        <w:pStyle w:val="Citation"/>
        <w:ind w:left="3057" w:firstLine="598"/>
        <w:rPr>
          <w:color w:val="auto"/>
        </w:rPr>
      </w:pPr>
      <w:r w:rsidRPr="00DE0415">
        <w:rPr>
          <w:color w:val="auto"/>
        </w:rPr>
        <w:t>[symbole de téléphone] 211</w:t>
      </w:r>
    </w:p>
    <w:p w14:paraId="509796CF" w14:textId="77777777" w:rsidR="00585997" w:rsidRPr="00DE0415" w:rsidRDefault="00226EF5" w:rsidP="00585997">
      <w:pPr>
        <w:pStyle w:val="Citation"/>
        <w:rPr>
          <w:color w:val="auto"/>
        </w:rPr>
      </w:pPr>
      <w:r w:rsidRPr="00DE0415">
        <w:rPr>
          <w:color w:val="auto"/>
        </w:rPr>
        <w:lastRenderedPageBreak/>
        <w:t>Un accompagnement et des références vers des ressources vous seront fournis sur demande.</w:t>
      </w:r>
    </w:p>
    <w:p w14:paraId="628157CB" w14:textId="77777777" w:rsidR="00585997" w:rsidRPr="00DE0415" w:rsidRDefault="00226EF5" w:rsidP="00585997">
      <w:pPr>
        <w:pStyle w:val="Citation"/>
        <w:rPr>
          <w:color w:val="auto"/>
        </w:rPr>
      </w:pPr>
      <w:r w:rsidRPr="00DE0415">
        <w:rPr>
          <w:color w:val="auto"/>
        </w:rPr>
        <w:t>Des intervenantes continueront d’être présentes sur le terrain pour vous aider à préparer et à réaliser ce déménagement dans le délai indiqué</w:t>
      </w:r>
      <w:r w:rsidR="00D853BA" w:rsidRPr="00DE0415">
        <w:rPr>
          <w:color w:val="auto"/>
        </w:rPr>
        <w:t>. (</w:t>
      </w:r>
      <w:r w:rsidR="00D853BA" w:rsidRPr="00DE0415">
        <w:rPr>
          <w:i/>
          <w:iCs/>
          <w:color w:val="auto"/>
        </w:rPr>
        <w:t>Gras et soulignement dans l’original</w:t>
      </w:r>
      <w:r w:rsidR="00D853BA" w:rsidRPr="00DE0415">
        <w:rPr>
          <w:color w:val="auto"/>
        </w:rPr>
        <w:t>)</w:t>
      </w:r>
    </w:p>
    <w:p w14:paraId="1711E35C" w14:textId="77777777" w:rsidR="004F6927" w:rsidRPr="00F23C83" w:rsidRDefault="00226EF5" w:rsidP="00546C40">
      <w:pPr>
        <w:pStyle w:val="Paragrsimple"/>
      </w:pPr>
      <w:r w:rsidRPr="00F23C83">
        <w:t xml:space="preserve">Les déclarations sous serment déposées à l’appui de la demande affirment que les efforts pour trouver de la place dans des refuges se sont avérés infructueux. Si les preuves à l’appui de la demande sont acceptées, au moment où l’avis d’expulsion a été affiché, les résidents n’avaient aucune option pour se loger. Ils faisaient face au démantèlement de leur communauté et du soutien et de la protection qu’elle leur offre. </w:t>
      </w:r>
    </w:p>
    <w:p w14:paraId="244C0762" w14:textId="77777777" w:rsidR="009907B7" w:rsidRPr="00DE0415" w:rsidRDefault="00226EF5" w:rsidP="009907B7">
      <w:pPr>
        <w:pStyle w:val="Paragrsimple"/>
        <w:rPr>
          <w:lang w:val="en-CA"/>
        </w:rPr>
      </w:pPr>
      <w:r w:rsidRPr="00F23C83">
        <w:t>Le 11 mai 2026</w:t>
      </w:r>
      <w:r>
        <w:rPr>
          <w:rStyle w:val="Appelnotedebasdep"/>
          <w:lang w:val="en-CA"/>
        </w:rPr>
        <w:footnoteReference w:id="4"/>
      </w:r>
      <w:r w:rsidR="00D17873">
        <w:t>,</w:t>
      </w:r>
      <w:r w:rsidRPr="00F23C83">
        <w:t xml:space="preserve"> la Ville a adopté un Protocole pour la gestion des campements de sans-abri</w:t>
      </w:r>
      <w:r>
        <w:rPr>
          <w:rStyle w:val="Appelnotedebasdep"/>
          <w:lang w:val="en-CA"/>
        </w:rPr>
        <w:footnoteReference w:id="5"/>
      </w:r>
      <w:r w:rsidR="00D17873">
        <w:t>.</w:t>
      </w:r>
      <w:r w:rsidRPr="00F23C83">
        <w:t xml:space="preserve"> Le Protocole a été publié en février de cette année et la Ville a déclaré lors de l’audience qu’elle gérait le campement de Van Horne conformément au Protocole. Le Protocole réaffirme l’engagement de la Ville à respecter les droits des personnes vivant dans les campements et établit la politique de la Ville selon laquelle le déplacement d’un campement de sans-abri est une mesure de dernier recours. Il exige que la Ville identifie les zones où les campements seront tolérés.   </w:t>
      </w:r>
      <w:r w:rsidRPr="00DE0415">
        <w:rPr>
          <w:lang w:val="en-CA"/>
        </w:rPr>
        <w:t xml:space="preserve">Il stipule : </w:t>
      </w:r>
    </w:p>
    <w:p w14:paraId="13C3EE9B" w14:textId="77777777" w:rsidR="009907B7" w:rsidRPr="00F23C83" w:rsidRDefault="00226EF5" w:rsidP="009907B7">
      <w:pPr>
        <w:pStyle w:val="Citation"/>
        <w:rPr>
          <w:rFonts w:ascii="Times New Roman" w:hAnsi="Times New Roman"/>
          <w:color w:val="auto"/>
          <w:lang w:eastAsia="en-US"/>
        </w:rPr>
      </w:pPr>
      <w:r w:rsidRPr="00F23C83">
        <w:rPr>
          <w:color w:val="auto"/>
        </w:rPr>
        <w:t xml:space="preserve">Le déplacement d’un campement ne doit être envisagé qu’en dernier recours, et uniquement dans les circonstances décrites dans le protocole. Cette mesure exceptionnelle n’est adoptée qu’après épuisement de toutes les autres options, </w:t>
      </w:r>
      <w:r w:rsidRPr="00F23C83">
        <w:rPr>
          <w:color w:val="auto"/>
          <w:u w:val="single"/>
        </w:rPr>
        <w:t>y compris la recherche de solutions durables</w:t>
      </w:r>
      <w:r w:rsidRPr="00F23C83">
        <w:rPr>
          <w:color w:val="auto"/>
        </w:rPr>
        <w:t>, la mobilisation des partenaires concernés et la mise en œuvre de mesures visant à garantir la sécurité, la dignité et la participation des personnes vivant dans les campements. Cette approche reflète l’engagement de la Ville à intervenir de manière mesurée, dans le respect des droits de la personne, et en mettant l’accent sur des solutions durables, en privilégiant les options qui évitent le déplacement forcé</w:t>
      </w:r>
      <w:r>
        <w:rPr>
          <w:rStyle w:val="Appelnotedebasdep"/>
          <w:color w:val="auto"/>
          <w:lang w:val="en-CA"/>
        </w:rPr>
        <w:footnoteReference w:id="6"/>
      </w:r>
      <w:r w:rsidR="00D17873">
        <w:rPr>
          <w:color w:val="auto"/>
        </w:rPr>
        <w:t>.</w:t>
      </w:r>
    </w:p>
    <w:p w14:paraId="5EA56608" w14:textId="77777777" w:rsidR="009A7894" w:rsidRPr="00F23C83" w:rsidRDefault="00226EF5" w:rsidP="009907B7">
      <w:pPr>
        <w:pStyle w:val="Paragrsimple"/>
      </w:pPr>
      <w:r w:rsidRPr="00F23C83">
        <w:t xml:space="preserve">À un moment donné, dont la date est contestée, la Ville a proposé un emplacement de rechange où les résidents pourraient s’installer pour une durée indéterminée. </w:t>
      </w:r>
      <w:r w:rsidR="009907B7" w:rsidRPr="00F23C83">
        <w:lastRenderedPageBreak/>
        <w:t xml:space="preserve">L’emplacement proposé était </w:t>
      </w:r>
      <w:r w:rsidRPr="00F23C83">
        <w:t xml:space="preserve">le </w:t>
      </w:r>
      <w:r w:rsidR="003F53CF" w:rsidRPr="00F23C83">
        <w:t xml:space="preserve">« </w:t>
      </w:r>
      <w:r w:rsidRPr="00F23C83">
        <w:t xml:space="preserve">Parc sans-nom », situé juste en face </w:t>
      </w:r>
      <w:r w:rsidR="009907B7" w:rsidRPr="00F23C83">
        <w:t>du boulevard</w:t>
      </w:r>
      <w:r w:rsidRPr="00F23C83">
        <w:t xml:space="preserve"> Saint-Laurent et également sous le viaduc</w:t>
      </w:r>
      <w:r w:rsidR="009907B7" w:rsidRPr="00F23C83">
        <w:t xml:space="preserve"> de Rosemont. </w:t>
      </w:r>
      <w:r w:rsidRPr="00F23C83">
        <w:t xml:space="preserve">Le viaduc est plus bas à cet </w:t>
      </w:r>
      <w:r w:rsidR="009907B7" w:rsidRPr="00F23C83">
        <w:t>endroit</w:t>
      </w:r>
      <w:r w:rsidR="00AF5E83" w:rsidRPr="00F23C83">
        <w:t xml:space="preserve">, </w:t>
      </w:r>
      <w:r w:rsidR="009907B7" w:rsidRPr="00F23C83">
        <w:t>car il descend légèrement vers l’ouest</w:t>
      </w:r>
      <w:r w:rsidRPr="00F23C83">
        <w:t>. Lors de l’audience relative à la demande</w:t>
      </w:r>
      <w:r w:rsidR="00AF5E83" w:rsidRPr="00F23C83">
        <w:t xml:space="preserve">, </w:t>
      </w:r>
      <w:r w:rsidRPr="00F23C83">
        <w:t>la Clinique a déposé une déclaration sous serment supplémentaire</w:t>
      </w:r>
      <w:r>
        <w:rPr>
          <w:rStyle w:val="Appelnotedebasdep"/>
          <w:lang w:val="en-CA"/>
        </w:rPr>
        <w:footnoteReference w:id="7"/>
      </w:r>
      <w:r w:rsidRPr="00F23C83">
        <w:t xml:space="preserve"> provenant d’un résident qui s’est rendu sur place et </w:t>
      </w:r>
      <w:r w:rsidR="009425D6" w:rsidRPr="00F23C83">
        <w:t>qui juge l’emplacement inadapté</w:t>
      </w:r>
      <w:r w:rsidRPr="00F23C83">
        <w:t xml:space="preserve">. </w:t>
      </w:r>
      <w:r w:rsidR="009425D6" w:rsidRPr="00F23C83">
        <w:t>Le déclarant indique s’être rendu au Parc sans nom le 25 mai 2026. Selon lui, le bruit constant de la circulation aérienne est si important qu’il serait difficile, voire impossible, d’y dormir</w:t>
      </w:r>
      <w:r w:rsidRPr="00F23C83">
        <w:t>.</w:t>
      </w:r>
      <w:r w:rsidR="009425D6" w:rsidRPr="00F23C83">
        <w:t xml:space="preserve"> Il note également que le site est situé à proximité immédiate de maisons résidentielles, qu’il manque d’accès à l’eau, de toilettes publiques, d’éclairage et de tout service électrique apparent, et qu’il est entouré d’une clôture. </w:t>
      </w:r>
      <w:r w:rsidRPr="00F23C83">
        <w:t xml:space="preserve">Si la Cour, au fond, accepte que l’alternative ne permette pas aux résidents de dormir, il est peu </w:t>
      </w:r>
      <w:r w:rsidR="009907B7" w:rsidRPr="00F23C83">
        <w:t xml:space="preserve">probable qu’il s’agisse </w:t>
      </w:r>
      <w:r w:rsidRPr="00F23C83">
        <w:t xml:space="preserve">d’une alternative </w:t>
      </w:r>
      <w:r w:rsidR="009907B7" w:rsidRPr="00F23C83">
        <w:t>acceptable conformément au protocole de la Ville</w:t>
      </w:r>
      <w:r w:rsidRPr="00F23C83">
        <w:t xml:space="preserve">. </w:t>
      </w:r>
    </w:p>
    <w:p w14:paraId="0A4823D1" w14:textId="77777777" w:rsidR="009907B7" w:rsidRPr="00F23C83" w:rsidRDefault="00226EF5" w:rsidP="009907B7">
      <w:pPr>
        <w:pStyle w:val="Paragrsimple"/>
      </w:pPr>
      <w:r w:rsidRPr="00F23C83">
        <w:t xml:space="preserve">Les résidents du skatepark Van Horne n’ont pas déménagé et la clinique a déposé la présente requête pour s’assurer qu’ils ne seraient pas expulsés. La manière </w:t>
      </w:r>
      <w:r w:rsidR="00927C25" w:rsidRPr="00F23C83">
        <w:t xml:space="preserve">et le moment </w:t>
      </w:r>
      <w:r w:rsidRPr="00F23C83">
        <w:t xml:space="preserve">où l’alternative a été présentée sont contestés, mais lors de l’audience de cette affaire, alors que l’option de déménager au Parc sans nom a été clairement proposée, la clinique </w:t>
      </w:r>
      <w:r w:rsidR="00927C25" w:rsidRPr="00F23C83">
        <w:t xml:space="preserve">a réitéré son refus </w:t>
      </w:r>
      <w:r w:rsidRPr="00F23C83">
        <w:t xml:space="preserve">de déménager. </w:t>
      </w:r>
    </w:p>
    <w:p w14:paraId="0C92B36A" w14:textId="77777777" w:rsidR="009A7894" w:rsidRPr="00F23C83" w:rsidRDefault="00226EF5" w:rsidP="009907B7">
      <w:pPr>
        <w:pStyle w:val="Paragrsimple"/>
      </w:pPr>
      <w:r w:rsidRPr="00F23C83">
        <w:t xml:space="preserve">Au cours du </w:t>
      </w:r>
      <w:r w:rsidR="005951C8" w:rsidRPr="00F23C83">
        <w:t xml:space="preserve">week-end suivant l’audience, à la demande de la Cour, la Ville a confirmé une deuxième option </w:t>
      </w:r>
      <w:r w:rsidR="003A6D28" w:rsidRPr="00F23C83">
        <w:t xml:space="preserve">: </w:t>
      </w:r>
      <w:r w:rsidR="005951C8" w:rsidRPr="00F23C83">
        <w:t>un</w:t>
      </w:r>
      <w:r w:rsidR="003A6D28" w:rsidRPr="00F23C83">
        <w:t xml:space="preserve"> autre </w:t>
      </w:r>
      <w:r w:rsidR="005951C8" w:rsidRPr="00F23C83">
        <w:t xml:space="preserve">site à proximité connu sous le nom de L’Entrepôt 77. La Ville </w:t>
      </w:r>
      <w:r w:rsidRPr="00F23C83">
        <w:t xml:space="preserve">a </w:t>
      </w:r>
      <w:r w:rsidR="005951C8" w:rsidRPr="00F23C83">
        <w:t xml:space="preserve">toutefois </w:t>
      </w:r>
      <w:r w:rsidRPr="00F23C83">
        <w:t xml:space="preserve">expliqué </w:t>
      </w:r>
      <w:r w:rsidR="005951C8" w:rsidRPr="00F23C83">
        <w:t xml:space="preserve">que le déménagement vers cet espace serait temporaire, car il était destiné à servir de patinoire pendant l’hiver. </w:t>
      </w:r>
    </w:p>
    <w:p w14:paraId="72F99C9B" w14:textId="77777777" w:rsidR="005951C8" w:rsidRPr="00F23C83" w:rsidRDefault="00226EF5" w:rsidP="005951C8">
      <w:pPr>
        <w:pStyle w:val="Paragrsimple"/>
      </w:pPr>
      <w:r w:rsidRPr="00F23C83">
        <w:t xml:space="preserve">La Clinique a estimé que le déménagement à l’Entrepôt 77 </w:t>
      </w:r>
      <w:r w:rsidR="002E4810" w:rsidRPr="00F23C83">
        <w:t xml:space="preserve">était inacceptable, car cela </w:t>
      </w:r>
      <w:r w:rsidRPr="00F23C83">
        <w:t xml:space="preserve">ne </w:t>
      </w:r>
      <w:r w:rsidR="002E4810" w:rsidRPr="00F23C83">
        <w:t>faisait</w:t>
      </w:r>
      <w:r w:rsidRPr="00F23C83">
        <w:t xml:space="preserve"> que </w:t>
      </w:r>
      <w:r w:rsidR="002E4810" w:rsidRPr="00F23C83">
        <w:t xml:space="preserve">reporter </w:t>
      </w:r>
      <w:r w:rsidRPr="00F23C83">
        <w:t xml:space="preserve">le </w:t>
      </w:r>
      <w:r w:rsidR="002E4810" w:rsidRPr="00F23C83">
        <w:t xml:space="preserve">débat </w:t>
      </w:r>
      <w:r w:rsidRPr="00F23C83">
        <w:t xml:space="preserve">au mois de décembre, </w:t>
      </w:r>
      <w:r w:rsidR="003F53CF" w:rsidRPr="00F23C83">
        <w:t xml:space="preserve">date à laquelle </w:t>
      </w:r>
      <w:r w:rsidRPr="00F23C83">
        <w:t xml:space="preserve">les </w:t>
      </w:r>
      <w:r w:rsidR="002E4810" w:rsidRPr="00F23C83">
        <w:t xml:space="preserve">résidents </w:t>
      </w:r>
      <w:r w:rsidRPr="00F23C83">
        <w:t xml:space="preserve">risquaient à nouveau </w:t>
      </w:r>
      <w:r w:rsidR="002E4810" w:rsidRPr="00F23C83">
        <w:t xml:space="preserve">d’être </w:t>
      </w:r>
      <w:r w:rsidRPr="00F23C83">
        <w:t xml:space="preserve">expulsés. </w:t>
      </w:r>
    </w:p>
    <w:p w14:paraId="6CF9E1DD" w14:textId="77777777" w:rsidR="009907B7" w:rsidRPr="00F23C83" w:rsidRDefault="00226EF5" w:rsidP="009907B7">
      <w:pPr>
        <w:pStyle w:val="Paragrsimple"/>
      </w:pPr>
      <w:r w:rsidRPr="00F23C83">
        <w:t xml:space="preserve">Au nom des résidents, la Clinique fait valoir que le démantèlement du campement mettra les résidents en danger, portant atteinte à leurs droits fondamentaux, en particulier leur droit à la sécurité garanti par l’article 1 de la </w:t>
      </w:r>
      <w:r w:rsidRPr="00F23C83">
        <w:rPr>
          <w:i/>
          <w:iCs/>
        </w:rPr>
        <w:t xml:space="preserve">Charte québécoise </w:t>
      </w:r>
      <w:r w:rsidRPr="00F23C83">
        <w:t xml:space="preserve">et l’article 7 de la </w:t>
      </w:r>
      <w:r w:rsidRPr="00F23C83">
        <w:rPr>
          <w:i/>
          <w:iCs/>
        </w:rPr>
        <w:t>Charte canadienne</w:t>
      </w:r>
      <w:r w:rsidRPr="00F23C83">
        <w:t xml:space="preserve">. La Clinique fait également valoir que le démantèlement du campement porterait atteinte à la dignité des résidents, protégée par l’article 4 de la Charte québécoise, ainsi qu’à l’inviolabilité du domicile, protégée par l’article 7 de la Charte québécoise. </w:t>
      </w:r>
    </w:p>
    <w:p w14:paraId="495AC95B" w14:textId="77777777" w:rsidR="009907B7" w:rsidRPr="00F23C83" w:rsidRDefault="00226EF5" w:rsidP="009907B7">
      <w:pPr>
        <w:pStyle w:val="Paragrsimple"/>
      </w:pPr>
      <w:r w:rsidRPr="00F23C83">
        <w:t xml:space="preserve">La Ville offre une perspective différente. Elle soutient qu’il est possible de respecter les droits fondamentaux des résidents du campement tout en assurant l’accès aux biens publics dans l’intérêt de l’ensemble de la population. </w:t>
      </w:r>
    </w:p>
    <w:p w14:paraId="3AEB7B74" w14:textId="77777777" w:rsidR="009907B7" w:rsidRPr="00F23C83" w:rsidRDefault="00226EF5" w:rsidP="009907B7">
      <w:pPr>
        <w:pStyle w:val="Paragrsimple"/>
      </w:pPr>
      <w:r w:rsidRPr="00F23C83">
        <w:t xml:space="preserve">Pour les raisons qui suivent, </w:t>
      </w:r>
      <w:r w:rsidR="00F23C83">
        <w:t xml:space="preserve">le Tribunal </w:t>
      </w:r>
      <w:r w:rsidRPr="00F23C83">
        <w:t xml:space="preserve">est d’avis qu’il y a lieu de rendre l’ordonnance de sauvegarde </w:t>
      </w:r>
      <w:r w:rsidR="00F23C83">
        <w:t>recherch</w:t>
      </w:r>
      <w:r w:rsidRPr="00F23C83">
        <w:t xml:space="preserve">ée et qu’elle devrait rester en vigueur jusqu’à l’audience sur le fond, à moins que les circonstances ne changent. </w:t>
      </w:r>
    </w:p>
    <w:p w14:paraId="76EBF158" w14:textId="77777777" w:rsidR="009907B7" w:rsidRPr="00F23C83" w:rsidRDefault="00226EF5" w:rsidP="009907B7">
      <w:pPr>
        <w:pStyle w:val="Paragrsimple"/>
      </w:pPr>
      <w:r w:rsidRPr="00F23C83">
        <w:lastRenderedPageBreak/>
        <w:t xml:space="preserve">Ce dernier point est important, car personne n’a le droit de s’approprier un bien public d’une manière non autorisée par la Ville. Le droit des résidents du campement de rester où ils sont découle de l’absence de preuve d’une solution de rechange </w:t>
      </w:r>
      <w:r w:rsidR="00F23C83">
        <w:t>durable</w:t>
      </w:r>
      <w:r w:rsidRPr="00F23C83">
        <w:t xml:space="preserve">. Si une solution de rechange respectant le protocole de la Ville est trouvée, c'est-à-dire une solution durable, sécuritaire et respectueuse de la dignité des résidents, la Ville aura toujours la possibilité de demander à nouveau aux résidents de déménager. S'ils refusent, la présente ordonnance n'empêche pas la Ville de demander l'autorisation </w:t>
      </w:r>
      <w:r w:rsidR="00F23C83" w:rsidRPr="00F23C83">
        <w:t>du</w:t>
      </w:r>
      <w:r w:rsidR="00F23C83">
        <w:t xml:space="preserve"> Tribunal </w:t>
      </w:r>
      <w:r w:rsidRPr="00F23C83">
        <w:t xml:space="preserve">pour </w:t>
      </w:r>
      <w:r w:rsidR="00F23C83">
        <w:t>l’autorisation d’</w:t>
      </w:r>
      <w:r w:rsidRPr="00F23C83">
        <w:t xml:space="preserve">agir.   </w:t>
      </w:r>
    </w:p>
    <w:p w14:paraId="5496C5DD" w14:textId="77777777" w:rsidR="009A7894" w:rsidRPr="00DE0415" w:rsidRDefault="00226EF5" w:rsidP="00546C40">
      <w:pPr>
        <w:pStyle w:val="Titre1"/>
        <w:rPr>
          <w:lang w:val="en-CA"/>
        </w:rPr>
      </w:pPr>
      <w:r w:rsidRPr="00DE0415">
        <w:rPr>
          <w:lang w:val="en-CA"/>
        </w:rPr>
        <w:t xml:space="preserve">Analyse </w:t>
      </w:r>
    </w:p>
    <w:p w14:paraId="373183BB" w14:textId="77777777" w:rsidR="009A7894" w:rsidRPr="00F23C83" w:rsidRDefault="00226EF5" w:rsidP="005519AE">
      <w:pPr>
        <w:pStyle w:val="Paragrsimple"/>
      </w:pPr>
      <w:r w:rsidRPr="00F23C83">
        <w:t xml:space="preserve">Il est demandé au tribunal de rendre une ordonnance de sauvegarde afin de protéger les droits des résidents jusqu’à ce que l’affaire puisse être jugée sur le fond. Étant donné que l’affaire doit être tranchée sans bénéficier d’une audience complète qui permettrait de vérifier les preuves, le tribunal doit procéder avec prudence. Bien que le droit ait été débattu au cours d’une audience d’une journée et que les deux parties aient déposé des dossiers de preuve substantiels sous forme de déclarations </w:t>
      </w:r>
      <w:r w:rsidR="000F0094" w:rsidRPr="00F23C83">
        <w:t xml:space="preserve">sous serment </w:t>
      </w:r>
      <w:r w:rsidR="000E5177" w:rsidRPr="00F23C83">
        <w:t>et de pièces justificatives</w:t>
      </w:r>
      <w:r>
        <w:rPr>
          <w:rStyle w:val="Appelnotedebasdep"/>
          <w:lang w:val="en-CA"/>
        </w:rPr>
        <w:footnoteReference w:id="8"/>
      </w:r>
      <w:r w:rsidR="00D17873">
        <w:t>,</w:t>
      </w:r>
      <w:r w:rsidRPr="00F23C83">
        <w:t xml:space="preserve"> aucun témoin n’a témoigné </w:t>
      </w:r>
      <w:r w:rsidR="00546C40" w:rsidRPr="00F23C83">
        <w:t xml:space="preserve">ni </w:t>
      </w:r>
      <w:r w:rsidR="000F0094" w:rsidRPr="00F23C83">
        <w:t xml:space="preserve">n’a été </w:t>
      </w:r>
      <w:r w:rsidRPr="00F23C83">
        <w:t>contre-interrogé. Des questions de fait importantes</w:t>
      </w:r>
      <w:r w:rsidR="009907B7" w:rsidRPr="00F23C83">
        <w:t xml:space="preserve">, notamment en ce qui concerne l’adéquation des solutions de rechange, </w:t>
      </w:r>
      <w:r w:rsidRPr="00F23C83">
        <w:t xml:space="preserve">restent à trancher </w:t>
      </w:r>
      <w:r w:rsidR="009907B7" w:rsidRPr="00F23C83">
        <w:t xml:space="preserve">lors </w:t>
      </w:r>
      <w:r w:rsidRPr="00F23C83">
        <w:t xml:space="preserve">de l’audience sur le fond. </w:t>
      </w:r>
    </w:p>
    <w:p w14:paraId="01976B9D" w14:textId="77777777" w:rsidR="00927C25" w:rsidRPr="00F23C83" w:rsidRDefault="00226EF5" w:rsidP="000E5177">
      <w:pPr>
        <w:pStyle w:val="Paragrsimple"/>
      </w:pPr>
      <w:r w:rsidRPr="00F23C83">
        <w:t>Le critère applicable est bien établi. Pour obtenir l’ordonnance demandée avant l’audience sur le fond et avant que les preuves ne soient examinées, le demandeur doit démontrer quatre éléments : (i) qu’il existe une affaire sérieuse à juger ou une apparence de droit sur le fond ; (ii) qu’en l’absence d’ordonnance</w:t>
      </w:r>
      <w:r w:rsidR="00AF5E83" w:rsidRPr="00F23C83">
        <w:t xml:space="preserve">, </w:t>
      </w:r>
      <w:r w:rsidRPr="00F23C83">
        <w:t>le demandeur subira un préjudice grave ou irréparable ; (</w:t>
      </w:r>
      <w:r w:rsidR="009907B7" w:rsidRPr="00F23C83">
        <w:t>iii</w:t>
      </w:r>
      <w:r w:rsidRPr="00F23C83">
        <w:t xml:space="preserve">) que la balance des inconvénients penche en faveur de l’octroi de </w:t>
      </w:r>
      <w:r w:rsidR="009907B7" w:rsidRPr="00F23C83">
        <w:t>l’ordonnance ; et enfin (iv) que l’affaire est urgente en ce sens qu’il faut agir immédiatement pour protéger les droits avant l’audience</w:t>
      </w:r>
      <w:r>
        <w:rPr>
          <w:rStyle w:val="Appelnotedebasdep"/>
        </w:rPr>
        <w:footnoteReference w:id="9"/>
      </w:r>
      <w:r w:rsidR="00F23C83">
        <w:t>.</w:t>
      </w:r>
    </w:p>
    <w:p w14:paraId="29080EDF" w14:textId="77777777" w:rsidR="00940E01" w:rsidRPr="00F23C83" w:rsidRDefault="00226EF5" w:rsidP="00DE0415">
      <w:pPr>
        <w:pStyle w:val="Titre3"/>
        <w:jc w:val="both"/>
      </w:pPr>
      <w:r w:rsidRPr="00F23C83">
        <w:t xml:space="preserve">La demande soulève des questions sérieuses et démontre l’existence d’une apparence de droit au recours </w:t>
      </w:r>
      <w:r w:rsidR="00F17DAA" w:rsidRPr="00F23C83">
        <w:t>demandé</w:t>
      </w:r>
    </w:p>
    <w:p w14:paraId="352F5AA1" w14:textId="77777777" w:rsidR="00927C25" w:rsidRPr="00F23C83" w:rsidRDefault="00226EF5" w:rsidP="00940E01">
      <w:pPr>
        <w:pStyle w:val="Paragrsimple"/>
      </w:pPr>
      <w:r w:rsidRPr="00F23C83">
        <w:t xml:space="preserve">À la </w:t>
      </w:r>
      <w:r w:rsidR="009B7B4E" w:rsidRPr="00F23C83">
        <w:t xml:space="preserve">première </w:t>
      </w:r>
      <w:r w:rsidRPr="00F23C83">
        <w:t xml:space="preserve">étape de l’examen, </w:t>
      </w:r>
      <w:r w:rsidR="00F23C83">
        <w:t xml:space="preserve">le Tribunal </w:t>
      </w:r>
      <w:r w:rsidRPr="00F23C83">
        <w:t xml:space="preserve">doit évaluer si la demande sur le fond soulève une question sérieuse ou fait apparaître un droit à la réparation demandée. </w:t>
      </w:r>
    </w:p>
    <w:p w14:paraId="74B49AC1" w14:textId="77777777" w:rsidR="009B7B4E" w:rsidRPr="00F23C83" w:rsidRDefault="00226EF5" w:rsidP="00D17873">
      <w:pPr>
        <w:pStyle w:val="Paragrsimple"/>
      </w:pPr>
      <w:r w:rsidRPr="00F23C83">
        <w:lastRenderedPageBreak/>
        <w:t>Le seuil n’est pas élevé à ce stade de l’examen</w:t>
      </w:r>
      <w:r>
        <w:rPr>
          <w:rStyle w:val="Appelnotedebasdep"/>
          <w:rFonts w:cs="Arial"/>
        </w:rPr>
        <w:footnoteReference w:id="10"/>
      </w:r>
      <w:r w:rsidR="00D17873">
        <w:t>.</w:t>
      </w:r>
      <w:r w:rsidRPr="00F23C83">
        <w:t xml:space="preserve"> Si la demande n’est ni frivole ni vexatoire, ce critère est généralement rempli. Il est néanmoins nécessaire d’examiner la solidité de la cause, au moins sommairement, car </w:t>
      </w:r>
      <w:r w:rsidR="00F70B02" w:rsidRPr="00F23C83">
        <w:t xml:space="preserve">en fin de compte, </w:t>
      </w:r>
      <w:r w:rsidRPr="00F23C83">
        <w:t>les critères sont examinés ensemble dans leur ensemble</w:t>
      </w:r>
      <w:r>
        <w:rPr>
          <w:rStyle w:val="Appelnotedebasdep"/>
          <w:lang w:val="en-US"/>
        </w:rPr>
        <w:footnoteReference w:id="11"/>
      </w:r>
      <w:r w:rsidR="00D17873">
        <w:t>.</w:t>
      </w:r>
      <w:r w:rsidRPr="00F23C83">
        <w:t xml:space="preserve"> La nature du droit invoqué, en l’espèce les droits fondamentaux de la personne, et un examen prima facie de la solidité de la cause peuvent </w:t>
      </w:r>
      <w:r w:rsidR="00F70B02" w:rsidRPr="00F23C83">
        <w:t xml:space="preserve">être pris </w:t>
      </w:r>
      <w:r w:rsidRPr="00F23C83">
        <w:t>en compte dans la mise en balance des autres facteurs.</w:t>
      </w:r>
    </w:p>
    <w:p w14:paraId="4FA1D284" w14:textId="77777777" w:rsidR="00C14E50" w:rsidRPr="00F23C83" w:rsidRDefault="00226EF5" w:rsidP="009B7B4E">
      <w:pPr>
        <w:pStyle w:val="Paragrsimple"/>
      </w:pPr>
      <w:r w:rsidRPr="00F23C83">
        <w:t xml:space="preserve">Certains aspects de l’argumentation de la Clinique reposent sur </w:t>
      </w:r>
      <w:r w:rsidR="003F53CF" w:rsidRPr="00F23C83">
        <w:t>des principes</w:t>
      </w:r>
      <w:r w:rsidRPr="00F23C83">
        <w:t xml:space="preserve"> bien établis. La manière dont ils s’appliquent à la présente affaire dépendra probablement des conclusions de fait. Il est néanmoins utile d’examiner le fondement juridique de la demande de la Clinique. </w:t>
      </w:r>
    </w:p>
    <w:p w14:paraId="0E15DF82" w14:textId="77777777" w:rsidR="00927C25" w:rsidRPr="00F23C83" w:rsidRDefault="00226EF5" w:rsidP="009B7B4E">
      <w:pPr>
        <w:pStyle w:val="Paragrsimple"/>
      </w:pPr>
      <w:r w:rsidRPr="00F23C83">
        <w:t>La Ville doit non seulement respecter les droits garantis par la Charte aux résidents, mais ses décisions administratives doivent également refléter les valeurs de la Charte</w:t>
      </w:r>
      <w:r>
        <w:rPr>
          <w:rStyle w:val="Appelnotedebasdep"/>
          <w:lang w:val="en-US"/>
        </w:rPr>
        <w:footnoteReference w:id="12"/>
      </w:r>
      <w:r w:rsidR="00D17873">
        <w:t>,</w:t>
      </w:r>
      <w:r w:rsidR="0082174A" w:rsidRPr="00F23C83">
        <w:t xml:space="preserve"> notamment la dignité humaine</w:t>
      </w:r>
      <w:r>
        <w:rPr>
          <w:rStyle w:val="Appelnotedebasdep"/>
          <w:lang w:val="en-US"/>
        </w:rPr>
        <w:footnoteReference w:id="13"/>
      </w:r>
      <w:r w:rsidR="00D17873">
        <w:t>,</w:t>
      </w:r>
      <w:r w:rsidR="0082174A" w:rsidRPr="00F23C83">
        <w:t xml:space="preserve"> la </w:t>
      </w:r>
      <w:r w:rsidRPr="00F23C83">
        <w:t xml:space="preserve">« </w:t>
      </w:r>
      <w:r w:rsidR="0082174A" w:rsidRPr="00F23C83">
        <w:t xml:space="preserve">nature profondément sociale des </w:t>
      </w:r>
      <w:r w:rsidR="00F17DAA" w:rsidRPr="00F23C83">
        <w:t>activités</w:t>
      </w:r>
      <w:r w:rsidR="0082174A" w:rsidRPr="00F23C83">
        <w:t xml:space="preserve"> humaines </w:t>
      </w:r>
      <w:r w:rsidRPr="00F23C83">
        <w:t>»</w:t>
      </w:r>
      <w:r>
        <w:rPr>
          <w:rStyle w:val="Appelnotedebasdep"/>
          <w:lang w:val="en-US"/>
        </w:rPr>
        <w:footnoteReference w:id="14"/>
      </w:r>
      <w:r w:rsidR="00D17873">
        <w:t>,</w:t>
      </w:r>
      <w:r w:rsidR="0082174A" w:rsidRPr="00F23C83">
        <w:t xml:space="preserve"> et la sécurité </w:t>
      </w:r>
      <w:r w:rsidR="00F17DAA" w:rsidRPr="00F23C83">
        <w:t>de la personne</w:t>
      </w:r>
      <w:r w:rsidR="0082174A" w:rsidRPr="00F23C83">
        <w:t xml:space="preserve">. </w:t>
      </w:r>
    </w:p>
    <w:p w14:paraId="782C31A0" w14:textId="77777777" w:rsidR="00963718" w:rsidRPr="00F23C83" w:rsidRDefault="00226EF5" w:rsidP="00940E01">
      <w:pPr>
        <w:pStyle w:val="Paragrsimple"/>
      </w:pPr>
      <w:r w:rsidRPr="00F23C83">
        <w:t xml:space="preserve">La conclusion demandée concernant l’injonction permanente se lit comme suit. </w:t>
      </w:r>
    </w:p>
    <w:p w14:paraId="5278B831" w14:textId="77777777" w:rsidR="004E61AF" w:rsidRPr="00DE0415" w:rsidRDefault="00226EF5" w:rsidP="004E61AF">
      <w:pPr>
        <w:pStyle w:val="Citation"/>
        <w:rPr>
          <w:color w:val="auto"/>
        </w:rPr>
      </w:pPr>
      <w:r w:rsidRPr="00DE0415">
        <w:rPr>
          <w:b/>
          <w:bCs/>
          <w:color w:val="auto"/>
        </w:rPr>
        <w:t xml:space="preserve">INTERDIRE </w:t>
      </w:r>
      <w:r w:rsidRPr="00DE0415">
        <w:rPr>
          <w:color w:val="auto"/>
        </w:rPr>
        <w:t>à la Ville de Montréal, ainsi qu’à tous ses mandataires ou représentants, ainsi qu’à toute personne physique ou morale ayant connaissance de l’ordonnance rendue, toute démarche visant l’expulsion, le démantèlement et la disposition des biens des membres de la communauté vivant près du parc de planches à roulettes (numéro de cadastre 2</w:t>
      </w:r>
      <w:r w:rsidR="003A6D28">
        <w:rPr>
          <w:color w:val="auto"/>
        </w:rPr>
        <w:t xml:space="preserve"> 334</w:t>
      </w:r>
      <w:r w:rsidRPr="00DE0415">
        <w:rPr>
          <w:color w:val="auto"/>
        </w:rPr>
        <w:t xml:space="preserve"> 591) et du terrain de basket-ball (numéro de cadastre 2</w:t>
      </w:r>
      <w:r w:rsidR="003A6D28">
        <w:rPr>
          <w:color w:val="auto"/>
        </w:rPr>
        <w:t xml:space="preserve"> 806</w:t>
      </w:r>
      <w:r w:rsidRPr="00DE0415">
        <w:rPr>
          <w:color w:val="auto"/>
        </w:rPr>
        <w:t xml:space="preserve"> 718) situés sous le viaduc Van Horne.</w:t>
      </w:r>
    </w:p>
    <w:p w14:paraId="7C3F0D62" w14:textId="77777777" w:rsidR="00963718" w:rsidRPr="00F23C83" w:rsidRDefault="00226EF5" w:rsidP="00C14E50">
      <w:pPr>
        <w:pStyle w:val="Paragrsimple"/>
      </w:pPr>
      <w:r w:rsidRPr="00F23C83">
        <w:t xml:space="preserve">À l’appui de </w:t>
      </w:r>
      <w:r w:rsidR="00C73DA8" w:rsidRPr="00F23C83">
        <w:t xml:space="preserve">cette </w:t>
      </w:r>
      <w:r w:rsidRPr="00F23C83">
        <w:t xml:space="preserve">conclusion, la </w:t>
      </w:r>
      <w:r w:rsidR="009B7B4E" w:rsidRPr="00F23C83">
        <w:t xml:space="preserve">Clinique </w:t>
      </w:r>
      <w:r w:rsidR="00C14E50" w:rsidRPr="00F23C83">
        <w:t xml:space="preserve">fait valoir </w:t>
      </w:r>
      <w:r w:rsidR="004E61AF" w:rsidRPr="00F23C83">
        <w:t xml:space="preserve">que le démantèlement du campement porterait atteinte </w:t>
      </w:r>
      <w:r w:rsidRPr="00F23C83">
        <w:t xml:space="preserve">aux droits fondamentaux garantis par la Charte </w:t>
      </w:r>
      <w:r w:rsidR="00F23C83">
        <w:t>québécoise</w:t>
      </w:r>
      <w:r>
        <w:rPr>
          <w:rStyle w:val="Appelnotedebasdep"/>
          <w:lang w:val="en-US"/>
        </w:rPr>
        <w:footnoteReference w:id="15"/>
      </w:r>
      <w:r w:rsidRPr="00F23C83">
        <w:t xml:space="preserve"> et la Charte</w:t>
      </w:r>
      <w:r w:rsidR="00F23C83">
        <w:t xml:space="preserve"> canadienne</w:t>
      </w:r>
      <w:r>
        <w:rPr>
          <w:rStyle w:val="Appelnotedebasdep"/>
          <w:lang w:val="en-US"/>
        </w:rPr>
        <w:footnoteReference w:id="16"/>
      </w:r>
      <w:r w:rsidRPr="00F23C83">
        <w:t xml:space="preserve">.  </w:t>
      </w:r>
    </w:p>
    <w:p w14:paraId="19F163C9" w14:textId="77777777" w:rsidR="00302045" w:rsidRPr="00F23C83" w:rsidRDefault="00226EF5" w:rsidP="00C14E50">
      <w:pPr>
        <w:pStyle w:val="Paragrsimple"/>
      </w:pPr>
      <w:r w:rsidRPr="00F23C83">
        <w:t xml:space="preserve">L'article 1 de la </w:t>
      </w:r>
      <w:r w:rsidRPr="00F23C83">
        <w:rPr>
          <w:i/>
          <w:iCs/>
        </w:rPr>
        <w:t xml:space="preserve">Charte québécoise </w:t>
      </w:r>
      <w:r w:rsidRPr="00F23C83">
        <w:t xml:space="preserve">et l'article 7 de la </w:t>
      </w:r>
      <w:r w:rsidRPr="00F23C83">
        <w:rPr>
          <w:i/>
          <w:iCs/>
        </w:rPr>
        <w:t xml:space="preserve">Charte canadienne </w:t>
      </w:r>
      <w:r w:rsidRPr="00F23C83">
        <w:t xml:space="preserve">protègent des intérêts similaires; en effet, la protection de la vie et de la sécurité de la personne sont identiques. Cependant, la charge de la preuve n'est pas la même dans les deux cas. L’article 7 de la Charte canadienne impose la double charge de démontrer l’existence d’une restriction à un intérêt protégé et de prouver que cette restriction n’est pas conforme </w:t>
      </w:r>
      <w:r w:rsidRPr="00F23C83">
        <w:lastRenderedPageBreak/>
        <w:t>aux principes de justice fondamentale. L’article 1 de la Charte québécoise exige seulement qu’il y ait atteinte à un intérêt protégé avant que la charge de la preuve ne passe à la partie qui cherche à justifier l’atteinte en vertu de l’article 9.1 de la Charte québécoise</w:t>
      </w:r>
      <w:r>
        <w:rPr>
          <w:rStyle w:val="Appelnotedebasdep"/>
          <w:lang w:val="en-US"/>
        </w:rPr>
        <w:footnoteReference w:id="17"/>
      </w:r>
      <w:r w:rsidR="00F23C83">
        <w:t>.</w:t>
      </w:r>
      <w:r w:rsidRPr="00F23C83">
        <w:t xml:space="preserve"> </w:t>
      </w:r>
    </w:p>
    <w:p w14:paraId="5C8DE12C" w14:textId="77777777" w:rsidR="00302045" w:rsidRPr="00F23C83" w:rsidRDefault="00226EF5" w:rsidP="00C14E50">
      <w:pPr>
        <w:pStyle w:val="Paragrsimple"/>
      </w:pPr>
      <w:r w:rsidRPr="00F23C83">
        <w:t xml:space="preserve">En conséquence, il est possible que les protections prévues à l’article 1 de la </w:t>
      </w:r>
      <w:r w:rsidRPr="00F23C83">
        <w:rPr>
          <w:i/>
          <w:iCs/>
        </w:rPr>
        <w:t xml:space="preserve">Charte québécoise </w:t>
      </w:r>
      <w:r w:rsidRPr="00F23C83">
        <w:t>soient plus étendues. La Cour suprême enseigne que « [c]ette caractéristique ne doit pas être ignorée »</w:t>
      </w:r>
      <w:r>
        <w:rPr>
          <w:rStyle w:val="Appelnotedebasdep"/>
          <w:lang w:val="en-US"/>
        </w:rPr>
        <w:footnoteReference w:id="18"/>
      </w:r>
      <w:r w:rsidR="00F23C83">
        <w:t>.</w:t>
      </w:r>
      <w:r w:rsidR="00121AEE" w:rsidRPr="00F23C83">
        <w:t xml:space="preserve"> </w:t>
      </w:r>
    </w:p>
    <w:p w14:paraId="4A0435F1" w14:textId="77777777" w:rsidR="001669E4" w:rsidRPr="00F23C83" w:rsidRDefault="00226EF5" w:rsidP="001669E4">
      <w:pPr>
        <w:pStyle w:val="Paragrsimple"/>
      </w:pPr>
      <w:r w:rsidRPr="00F23C83">
        <w:t>Compte tenu de l’examen requis au stade de l’apparence du droit, il n’est pas nécessaire de procéder à une comparaison détaillée de Charte</w:t>
      </w:r>
      <w:r w:rsidR="00D17873">
        <w:t xml:space="preserve"> québécoise et de la Charte</w:t>
      </w:r>
      <w:r w:rsidRPr="00F23C83">
        <w:t xml:space="preserve"> canadienne. Il suffit de noter qu’il est possible que la protection offerte par l’article 1 de la </w:t>
      </w:r>
      <w:r w:rsidR="00D17873" w:rsidRPr="00F23C83">
        <w:t>Charte</w:t>
      </w:r>
      <w:r w:rsidR="00D17873">
        <w:t xml:space="preserve"> québécoise </w:t>
      </w:r>
      <w:r w:rsidRPr="00F23C83">
        <w:t xml:space="preserve">soit plus étendue que celle offerte par l’article 7 de la Charte canadienne et que le fardeau incombant au demandeur puisse être allégé. Pour cette raison, la demande fondée sur l’article 1 de la Charte québécoise est au moins aussi solide, sinon plus, que celle fondée sur l’article 7. L’analyse qui suit examine la demande principalement à la lumière de la </w:t>
      </w:r>
      <w:r w:rsidRPr="00F23C83">
        <w:rPr>
          <w:i/>
          <w:iCs/>
        </w:rPr>
        <w:t xml:space="preserve">Charte canadienne, </w:t>
      </w:r>
      <w:r w:rsidRPr="00F23C83">
        <w:t xml:space="preserve">car il semble y avoir une protection procédurale utile et pertinente qui pourrait ne pas s’appliquer en vertu de la </w:t>
      </w:r>
      <w:r w:rsidRPr="00F23C83">
        <w:rPr>
          <w:i/>
          <w:iCs/>
        </w:rPr>
        <w:t>Charte québécoise</w:t>
      </w:r>
      <w:r w:rsidRPr="00F23C83">
        <w:t xml:space="preserve">.  </w:t>
      </w:r>
    </w:p>
    <w:p w14:paraId="1E963A0A" w14:textId="77777777" w:rsidR="00963718" w:rsidRPr="00F23C83" w:rsidRDefault="00226EF5" w:rsidP="00940E01">
      <w:pPr>
        <w:pStyle w:val="Paragrsimple"/>
      </w:pPr>
      <w:r w:rsidRPr="00F23C83">
        <w:t xml:space="preserve">Il est de jurisprudence constante que toute mesure étatique qui accroît </w:t>
      </w:r>
      <w:r w:rsidR="00D1379A" w:rsidRPr="00F23C83">
        <w:t xml:space="preserve">un </w:t>
      </w:r>
      <w:r w:rsidRPr="00F23C83">
        <w:t xml:space="preserve">risque </w:t>
      </w:r>
      <w:r w:rsidR="00D1379A" w:rsidRPr="00F23C83">
        <w:t xml:space="preserve">non hypothétique </w:t>
      </w:r>
      <w:r w:rsidRPr="00F23C83">
        <w:t>pour la vie ou la sécurité d’une personne relève de l’article 7 de la Charte</w:t>
      </w:r>
      <w:r w:rsidR="001669E4" w:rsidRPr="00F23C83">
        <w:t xml:space="preserve"> canadienne</w:t>
      </w:r>
      <w:r w:rsidRPr="00F23C83">
        <w:t xml:space="preserve">. </w:t>
      </w:r>
      <w:r w:rsidR="00D1379A" w:rsidRPr="00F23C83">
        <w:t xml:space="preserve">La question de savoir si la mesure proposée par la Ville augmenterait de tels risques pour les résidents ne peut être tranchée qu’au fond. Toutefois, le requérant a présenté des éléments de preuve qui, s’ils sont retenus, pourraient étayer une telle conclusion. </w:t>
      </w:r>
    </w:p>
    <w:p w14:paraId="043D6329" w14:textId="77777777" w:rsidR="00963718" w:rsidRPr="00F23C83" w:rsidRDefault="00226EF5" w:rsidP="00940E01">
      <w:pPr>
        <w:pStyle w:val="Paragrsimple"/>
      </w:pPr>
      <w:r w:rsidRPr="00F23C83">
        <w:t xml:space="preserve">Un demandeur doit établir un « lien de causalité suffisant » entre l’action ou la loi gouvernementale contestée et l’atteinte à la vie, à la liberté ou à la sécurité de la personne. Bien que l’action </w:t>
      </w:r>
      <w:r w:rsidR="00D1379A" w:rsidRPr="00F23C83">
        <w:t xml:space="preserve">gouvernementale </w:t>
      </w:r>
      <w:r w:rsidRPr="00F23C83">
        <w:t>ne doive pas nécessairement être la cause unique ou dominante de l’atteinte, il doit exister un lien réel, par opposition à un lien hypothétique. Cette norme est satisfaite par une déduction raisonnable, tirée selon la prépondérance des probabilités</w:t>
      </w:r>
      <w:r>
        <w:rPr>
          <w:rStyle w:val="Appelnotedebasdep"/>
          <w:lang w:val="en-US"/>
        </w:rPr>
        <w:footnoteReference w:id="19"/>
      </w:r>
      <w:r w:rsidR="00F23C83">
        <w:t>.</w:t>
      </w:r>
    </w:p>
    <w:p w14:paraId="4211C0FC" w14:textId="77777777" w:rsidR="00213441" w:rsidRPr="00F23C83" w:rsidRDefault="00226EF5" w:rsidP="00917D8C">
      <w:pPr>
        <w:pStyle w:val="Paragrsimple"/>
      </w:pPr>
      <w:r w:rsidRPr="00F23C83">
        <w:t>La sécurité de la personne fait généralement l’objet d’une interprétation large et comporte à la fois un aspect physique et un aspect psychologique</w:t>
      </w:r>
      <w:r>
        <w:rPr>
          <w:rStyle w:val="Appelnotedebasdep"/>
          <w:lang w:val="en-US"/>
        </w:rPr>
        <w:footnoteReference w:id="20"/>
      </w:r>
      <w:r w:rsidR="00F23C83">
        <w:t>.</w:t>
      </w:r>
      <w:r w:rsidR="00B304B8" w:rsidRPr="00F23C83">
        <w:t xml:space="preserve"> </w:t>
      </w:r>
      <w:r w:rsidR="00917D8C" w:rsidRPr="00F23C83">
        <w:t xml:space="preserve">Des effets psychologiques graves sur une personne peuvent faire jouer la protection de l’article 7. </w:t>
      </w:r>
      <w:r w:rsidR="00917D8C" w:rsidRPr="00F23C83">
        <w:lastRenderedPageBreak/>
        <w:t>Le préjudice doit être plus grave qu’un stress ou une anxiété ordinaires</w:t>
      </w:r>
      <w:r w:rsidR="00C14E50" w:rsidRPr="00F23C83">
        <w:t>, mais il n’est pas nécessaire qu’il atteigne le niveau d’un choc nerveux</w:t>
      </w:r>
      <w:r>
        <w:rPr>
          <w:rStyle w:val="Appelnotedebasdep"/>
          <w:lang w:val="en-US"/>
        </w:rPr>
        <w:footnoteReference w:id="21"/>
      </w:r>
      <w:r w:rsidR="00F23C83">
        <w:t>.</w:t>
      </w:r>
      <w:r w:rsidR="00917D8C" w:rsidRPr="00F23C83">
        <w:t xml:space="preserve"> </w:t>
      </w:r>
    </w:p>
    <w:p w14:paraId="3E255A04" w14:textId="77777777" w:rsidR="00C14E50" w:rsidRPr="00F23C83" w:rsidRDefault="00226EF5" w:rsidP="00C14E50">
      <w:pPr>
        <w:pStyle w:val="Paragrsimple"/>
      </w:pPr>
      <w:r w:rsidRPr="00F23C83">
        <w:t>La Clinique allègue que le déplacement des résidents du campement mettra leur sécurité en péril. Premièrement, si les résidents sont déplacés de force</w:t>
      </w:r>
      <w:r w:rsidR="00C73DA8" w:rsidRPr="00F23C83">
        <w:t xml:space="preserve">, le déplacement lui-même est </w:t>
      </w:r>
      <w:r w:rsidRPr="00F23C83">
        <w:t>susceptible de mettre en jeu leurs intérêts en matière de liberté et de sécurité protégés par l’article 7 de la Charte</w:t>
      </w:r>
      <w:r>
        <w:rPr>
          <w:rStyle w:val="Appelnotedebasdep"/>
          <w:lang w:val="en-US"/>
        </w:rPr>
        <w:footnoteReference w:id="22"/>
      </w:r>
      <w:r w:rsidR="00F23C83">
        <w:t>.</w:t>
      </w:r>
      <w:r w:rsidRPr="00F23C83">
        <w:t xml:space="preserve"> Elle fait valoir que, quel que soit l’endroit où ils seront déplacés, cela risque d’être traumatisant et perturbateur</w:t>
      </w:r>
      <w:r w:rsidR="00C73DA8" w:rsidRPr="00F23C83">
        <w:t xml:space="preserve">, </w:t>
      </w:r>
      <w:r w:rsidRPr="00F23C83">
        <w:t>ce qui met en jeu leur droit à la sécurité psychologique</w:t>
      </w:r>
      <w:r>
        <w:rPr>
          <w:rStyle w:val="Appelnotedebasdep"/>
          <w:lang w:val="en-US"/>
        </w:rPr>
        <w:footnoteReference w:id="23"/>
      </w:r>
      <w:r w:rsidR="00F23C83">
        <w:t>.</w:t>
      </w:r>
    </w:p>
    <w:p w14:paraId="39FB1675" w14:textId="77777777" w:rsidR="00C14E50" w:rsidRPr="00F23C83" w:rsidRDefault="00226EF5" w:rsidP="00D0149D">
      <w:pPr>
        <w:pStyle w:val="Paragrsimple"/>
      </w:pPr>
      <w:r w:rsidRPr="00F23C83">
        <w:t xml:space="preserve">La liberté comprend également le droit de faire des « choix intrinsèquement privés » qui touchent à des choix fondamentaux « touchant au cœur même de ce que signifie jouir de la dignité et de </w:t>
      </w:r>
      <w:r w:rsidR="00727F76" w:rsidRPr="00F23C83">
        <w:t>l’indépendance</w:t>
      </w:r>
      <w:r w:rsidRPr="00F23C83">
        <w:t xml:space="preserve"> individuelles </w:t>
      </w:r>
      <w:r w:rsidR="00727F76" w:rsidRPr="00F23C83">
        <w:t xml:space="preserve">», </w:t>
      </w:r>
      <w:r w:rsidRPr="00F23C83">
        <w:t>y compris le droit de choisir son lieu de résidence</w:t>
      </w:r>
      <w:r>
        <w:rPr>
          <w:rStyle w:val="Appelnotedebasdep"/>
          <w:lang w:val="en-US"/>
        </w:rPr>
        <w:footnoteReference w:id="24"/>
      </w:r>
      <w:r w:rsidRPr="00F23C83">
        <w:t xml:space="preserve">. </w:t>
      </w:r>
      <w:r w:rsidR="00D0149D" w:rsidRPr="00F23C83">
        <w:t xml:space="preserve">Toutefois, aucune décision judiciaire ne vient étayer l’idée </w:t>
      </w:r>
      <w:r w:rsidRPr="00F23C83">
        <w:t xml:space="preserve">selon laquelle la liberté de choisir son lieu de résidence inclut la </w:t>
      </w:r>
      <w:r w:rsidR="00D0149D" w:rsidRPr="00F23C83">
        <w:t xml:space="preserve">liberté </w:t>
      </w:r>
      <w:r w:rsidRPr="00F23C83">
        <w:t xml:space="preserve">de choisir </w:t>
      </w:r>
      <w:r w:rsidR="00C73DA8" w:rsidRPr="00F23C83">
        <w:t xml:space="preserve">de </w:t>
      </w:r>
      <w:r w:rsidRPr="00F23C83">
        <w:t xml:space="preserve">vivre dans un endroit </w:t>
      </w:r>
      <w:r w:rsidR="00C73DA8" w:rsidRPr="00F23C83">
        <w:t xml:space="preserve">qu’on </w:t>
      </w:r>
      <w:r w:rsidRPr="00F23C83">
        <w:t xml:space="preserve">n’a pas le droit d’occuper. </w:t>
      </w:r>
      <w:r w:rsidR="00D0149D" w:rsidRPr="00F23C83">
        <w:t>Une telle revendication a peu de chances d’aboutir.</w:t>
      </w:r>
      <w:r w:rsidRPr="00F23C83">
        <w:t xml:space="preserve"> </w:t>
      </w:r>
      <w:r w:rsidR="00D0149D" w:rsidRPr="00F23C83">
        <w:t>Dans le contexte de la liberté d’expression, par exemple, cette liberté n’inclut pas le droit d’utiliser une propriété privée ou publique d’une manière incompatible avec sa destination</w:t>
      </w:r>
      <w:r>
        <w:rPr>
          <w:rStyle w:val="Appelnotedebasdep"/>
          <w:lang w:val="en-US"/>
        </w:rPr>
        <w:footnoteReference w:id="25"/>
      </w:r>
      <w:r w:rsidR="00F23C83">
        <w:t>.</w:t>
      </w:r>
    </w:p>
    <w:p w14:paraId="70995986" w14:textId="77777777" w:rsidR="00561431" w:rsidRPr="00F23C83" w:rsidRDefault="00226EF5" w:rsidP="00C14E50">
      <w:pPr>
        <w:pStyle w:val="Paragrsimple"/>
      </w:pPr>
      <w:r w:rsidRPr="00F23C83">
        <w:t>Lorsque les intérêts protégés par l’article 7 sont en jeu, une violation n’est établie que si la restriction n’est pas conforme aux principes de justice fondamentale. Les principes de justice fondamentale se trouvent dans les fondements de notre système juridique</w:t>
      </w:r>
      <w:r>
        <w:rPr>
          <w:rStyle w:val="Appelnotedebasdep"/>
          <w:lang w:val="en-US"/>
        </w:rPr>
        <w:footnoteReference w:id="26"/>
      </w:r>
      <w:r w:rsidR="00F23C83">
        <w:t>.</w:t>
      </w:r>
      <w:r w:rsidRPr="00F23C83">
        <w:t xml:space="preserve"> Ces principes comprennent à la fois des garanties procédurales et des garanties de fond.  </w:t>
      </w:r>
    </w:p>
    <w:p w14:paraId="460C4D69" w14:textId="77777777" w:rsidR="00561431" w:rsidRPr="00F23C83" w:rsidRDefault="00226EF5" w:rsidP="00C14E50">
      <w:pPr>
        <w:pStyle w:val="Paragrsimple"/>
      </w:pPr>
      <w:r w:rsidRPr="00F23C83">
        <w:t xml:space="preserve">Les garanties de fond de la justice fondamentale garantissent que la vie, la liberté et la sécurité de la personne ne sont pas restreintes par des mesures arbitraires, grossièrement disproportionnées ou d’une portée excessive. </w:t>
      </w:r>
    </w:p>
    <w:p w14:paraId="610285FE" w14:textId="77777777" w:rsidR="00561431" w:rsidRPr="00F23C83" w:rsidRDefault="00226EF5" w:rsidP="00940E01">
      <w:pPr>
        <w:pStyle w:val="Paragrsimple"/>
      </w:pPr>
      <w:r w:rsidRPr="00F23C83">
        <w:t>Le déplacement proposé n’est pas arbitraire, mais des éléments de preuve ont été présentés qui, s’ils sont retenus, pourraient étayer la conclusion selon laquelle le déplacement du campement comporte un risque pour la sécurité lorsque « la gravité de la privation est totalement disproportionnée par rapport à l’objectif de la mesure »</w:t>
      </w:r>
      <w:r>
        <w:rPr>
          <w:rStyle w:val="Appelnotedebasdep"/>
          <w:lang w:val="en-US"/>
        </w:rPr>
        <w:footnoteReference w:id="27"/>
      </w:r>
      <w:r w:rsidR="00F23C83">
        <w:t>.</w:t>
      </w:r>
      <w:r w:rsidRPr="00F23C83">
        <w:t xml:space="preserve"> Les </w:t>
      </w:r>
      <w:r w:rsidR="00361F5D" w:rsidRPr="00F23C83">
        <w:lastRenderedPageBreak/>
        <w:t xml:space="preserve">conséquences du déplacement et le caractère adéquat </w:t>
      </w:r>
      <w:r w:rsidRPr="00F23C83">
        <w:t xml:space="preserve">des solutions de rechange </w:t>
      </w:r>
      <w:r w:rsidR="00361F5D" w:rsidRPr="00F23C83">
        <w:t xml:space="preserve">sont contestés et restent à déterminer par le juge qui entendra l’affaire sur le fond. </w:t>
      </w:r>
    </w:p>
    <w:p w14:paraId="38DB3ABD" w14:textId="77777777" w:rsidR="0062388C" w:rsidRPr="00F23C83" w:rsidRDefault="00226EF5" w:rsidP="00361F5D">
      <w:pPr>
        <w:pStyle w:val="Paragrsimple"/>
      </w:pPr>
      <w:r w:rsidRPr="00F23C83">
        <w:t xml:space="preserve">Les exigences procédurales de la justice fondamentale intègrent au moins les exigences de l’obligation </w:t>
      </w:r>
      <w:r w:rsidR="00F23C83">
        <w:t>d’</w:t>
      </w:r>
      <w:r w:rsidRPr="00F23C83">
        <w:t>équit</w:t>
      </w:r>
      <w:r w:rsidR="00F23C83">
        <w:t>é procédurale</w:t>
      </w:r>
      <w:r w:rsidRPr="00F23C83">
        <w:t xml:space="preserve"> </w:t>
      </w:r>
      <w:r w:rsidR="00F23C83">
        <w:t>du</w:t>
      </w:r>
      <w:r w:rsidRPr="00F23C83">
        <w:t xml:space="preserve"> common law</w:t>
      </w:r>
      <w:r>
        <w:rPr>
          <w:rStyle w:val="Appelnotedebasdep"/>
          <w:lang w:val="en-US"/>
        </w:rPr>
        <w:footnoteReference w:id="28"/>
      </w:r>
      <w:r w:rsidR="00F23C83">
        <w:t>.</w:t>
      </w:r>
      <w:r w:rsidRPr="00F23C83">
        <w:t xml:space="preserve"> Les exigences fondamentales de la procédure équitable </w:t>
      </w:r>
      <w:r w:rsidR="003B3B95" w:rsidRPr="00F23C83">
        <w:t xml:space="preserve">sont généralement comprises comme </w:t>
      </w:r>
      <w:r w:rsidRPr="00F23C83">
        <w:t xml:space="preserve">incluant un préavis adéquat, </w:t>
      </w:r>
      <w:r w:rsidR="003B3B95" w:rsidRPr="00F23C83">
        <w:t xml:space="preserve">le droit d’être entendu et un </w:t>
      </w:r>
      <w:r w:rsidRPr="00F23C83">
        <w:t>décideur</w:t>
      </w:r>
      <w:r w:rsidR="003B3B95" w:rsidRPr="00F23C83">
        <w:t xml:space="preserve"> impartial. </w:t>
      </w:r>
      <w:r w:rsidRPr="00F23C83">
        <w:t xml:space="preserve">La jurisprudence </w:t>
      </w:r>
      <w:r w:rsidR="00C73DA8" w:rsidRPr="00F23C83">
        <w:t xml:space="preserve">accorde </w:t>
      </w:r>
      <w:r w:rsidRPr="00F23C83">
        <w:t>une grande souplesse quant à la manière dont les exigences de la procédure équitable sont respectées. Aucune forme particulière de procédure n’est requise. Tant le contenu que la forme des protections procédurales varient selon le contexte dans lequel elles sont invoquées.</w:t>
      </w:r>
    </w:p>
    <w:p w14:paraId="4D6939DA" w14:textId="77777777" w:rsidR="00361F5D" w:rsidRPr="00F23C83" w:rsidRDefault="00226EF5" w:rsidP="00F23C83">
      <w:pPr>
        <w:pStyle w:val="Paragrsimple"/>
      </w:pPr>
      <w:r w:rsidRPr="00F23C83">
        <w:t xml:space="preserve"> Au fond, l’équité procédurale exige que les personnes visées par les décisions se voient accorder une possibilité réelle de participer au processus </w:t>
      </w:r>
      <w:r w:rsidR="00F32A04" w:rsidRPr="00F23C83">
        <w:t>décisionnel</w:t>
      </w:r>
      <w:r>
        <w:rPr>
          <w:rStyle w:val="Appelnotedebasdep"/>
          <w:lang w:val="en-US"/>
        </w:rPr>
        <w:footnoteReference w:id="29"/>
      </w:r>
      <w:r w:rsidR="00F23C83">
        <w:t>.</w:t>
      </w:r>
      <w:r w:rsidRPr="00F23C83">
        <w:t xml:space="preserve"> </w:t>
      </w:r>
    </w:p>
    <w:p w14:paraId="58DD4E30" w14:textId="77777777" w:rsidR="00302045" w:rsidRPr="00F23C83" w:rsidRDefault="00226EF5" w:rsidP="00F23C83">
      <w:pPr>
        <w:pStyle w:val="Paragrsimple"/>
      </w:pPr>
      <w:r w:rsidRPr="00F23C83">
        <w:t xml:space="preserve">L'article 23 de la </w:t>
      </w:r>
      <w:r w:rsidRPr="00F23C83">
        <w:rPr>
          <w:i/>
          <w:iCs/>
        </w:rPr>
        <w:t xml:space="preserve">Charte québécoise </w:t>
      </w:r>
      <w:r w:rsidRPr="00F23C83">
        <w:t>garantit également « une audience pleine et égale, publique et équitable devant un tribunal indépendant et impartial, pour la détermination de ses droits et obligations », mais il n'est pas évident que de telles garanties s'appliquent dans les circonstances actuelles</w:t>
      </w:r>
      <w:r>
        <w:rPr>
          <w:rStyle w:val="Appelnotedebasdep"/>
          <w:lang w:val="en-US"/>
        </w:rPr>
        <w:footnoteReference w:id="30"/>
      </w:r>
      <w:r w:rsidR="00F23C83">
        <w:t>.</w:t>
      </w:r>
    </w:p>
    <w:p w14:paraId="3D0D7A27" w14:textId="77777777" w:rsidR="00606E40" w:rsidRPr="00F23C83" w:rsidRDefault="00226EF5" w:rsidP="00606E40">
      <w:pPr>
        <w:pStyle w:val="Paragrsimple"/>
      </w:pPr>
      <w:r w:rsidRPr="00F23C83">
        <w:t xml:space="preserve">Le contenu des principes de justice naturelle et d’équité, tels qu’ils s’appliquent aux cas individuels, variera selon les circonstances de chaque affaire. </w:t>
      </w:r>
      <w:r w:rsidR="00361F5D" w:rsidRPr="00F23C83">
        <w:t>Le contexte est important</w:t>
      </w:r>
      <w:r>
        <w:rPr>
          <w:rStyle w:val="Appelnotedebasdep"/>
          <w:lang w:val="en-US"/>
        </w:rPr>
        <w:footnoteReference w:id="31"/>
      </w:r>
      <w:r w:rsidRPr="00F23C83">
        <w:t xml:space="preserve">. D’une manière générale, cependant, la jurisprudence de la Cour suprême enseigne que </w:t>
      </w:r>
      <w:r w:rsidR="00361F5D" w:rsidRPr="00F23C83">
        <w:t>plus l’atteinte à la vie, à la liberté et à la sécurité de la personne est grave, plus les exigences procédurales sont rigoureuses</w:t>
      </w:r>
      <w:r>
        <w:rPr>
          <w:rStyle w:val="Appelnotedebasdep"/>
          <w:lang w:val="en-US"/>
        </w:rPr>
        <w:footnoteReference w:id="32"/>
      </w:r>
      <w:r w:rsidR="00F23C83">
        <w:t>.</w:t>
      </w:r>
      <w:r w:rsidRPr="00F23C83">
        <w:t xml:space="preserve"> Le fait que la décision de la Ville soit qualifiée d’administrative n’élimine pas l’obligation d’équité</w:t>
      </w:r>
      <w:r>
        <w:rPr>
          <w:rStyle w:val="Appelnotedebasdep"/>
          <w:lang w:val="en-US"/>
        </w:rPr>
        <w:footnoteReference w:id="33"/>
      </w:r>
      <w:r w:rsidR="00F23C83">
        <w:t>.</w:t>
      </w:r>
      <w:r w:rsidRPr="00F23C83">
        <w:t xml:space="preserve"> Ce sont les conséquences de la décision, et non la nature de celle-ci, qui déterminent cette obligation. La nature de la décision influencera toutefois généralement le choix de la procédure appropriée. </w:t>
      </w:r>
    </w:p>
    <w:p w14:paraId="49140787" w14:textId="77777777" w:rsidR="00606E40" w:rsidRPr="00F23C83" w:rsidRDefault="00226EF5" w:rsidP="00606E40">
      <w:pPr>
        <w:pStyle w:val="Paragrsimple"/>
      </w:pPr>
      <w:r w:rsidRPr="00F23C83">
        <w:t xml:space="preserve">Des preuves contradictoires </w:t>
      </w:r>
      <w:r w:rsidR="00C228B9" w:rsidRPr="00F23C83">
        <w:t xml:space="preserve">concernant </w:t>
      </w:r>
      <w:r w:rsidRPr="00F23C83">
        <w:t xml:space="preserve">la procédure suivie par la Ville ont été présentées par les parties. </w:t>
      </w:r>
      <w:r w:rsidR="00C228B9" w:rsidRPr="00F23C83">
        <w:t xml:space="preserve">Bien qu’une violation de l’article 7 soit soulevée, les parties n’ont pas abordé la question de </w:t>
      </w:r>
      <w:r w:rsidRPr="00F23C83">
        <w:t xml:space="preserve">savoir si la procédure suivie par la Ville respectait les </w:t>
      </w:r>
      <w:r w:rsidRPr="00F23C83">
        <w:lastRenderedPageBreak/>
        <w:t>exigences</w:t>
      </w:r>
      <w:r w:rsidR="00C228B9" w:rsidRPr="00F23C83">
        <w:t xml:space="preserve"> procédurales </w:t>
      </w:r>
      <w:r w:rsidRPr="00F23C83">
        <w:t>de l’article 7</w:t>
      </w:r>
      <w:r w:rsidR="00C228B9" w:rsidRPr="00F23C83">
        <w:t xml:space="preserve">. </w:t>
      </w:r>
      <w:r w:rsidRPr="00F23C83">
        <w:t>En supposant qu’elles s’appliquent</w:t>
      </w:r>
      <w:r w:rsidR="00C228B9" w:rsidRPr="00F23C83">
        <w:t xml:space="preserve">, il </w:t>
      </w:r>
      <w:r w:rsidRPr="00F23C83">
        <w:t xml:space="preserve">s’agit d’une question qui doit être tranchée par le juge saisi de l’affaire au fond.  </w:t>
      </w:r>
    </w:p>
    <w:p w14:paraId="2071AC53" w14:textId="77777777" w:rsidR="00786E23" w:rsidRPr="00DE0415" w:rsidRDefault="00226EF5" w:rsidP="00606E40">
      <w:pPr>
        <w:pStyle w:val="Paragrsimple"/>
        <w:rPr>
          <w:lang w:val="en-US"/>
        </w:rPr>
      </w:pPr>
      <w:r w:rsidRPr="00F23C83">
        <w:t xml:space="preserve">Les arguments fondés sur les droits fondamentaux ne sont pas futiles. Les résidents ont un intérêt légitime à être protégés contre des mesures qui les exposeraient à des risques pour leur sécurité. La question de savoir si l’expulsion proposée aurait cet effet dépend toutefois des conclusions de fait concernant l’adéquation des solutions de rechange offertes et la suffisance des mesures d’atténuation proposées. </w:t>
      </w:r>
      <w:r w:rsidRPr="00DE0415">
        <w:t xml:space="preserve">Ces questions restent à trancher sur le fond.  </w:t>
      </w:r>
    </w:p>
    <w:p w14:paraId="43EC9D4E" w14:textId="77777777" w:rsidR="004C37AB" w:rsidRPr="00F23C83" w:rsidRDefault="00226EF5" w:rsidP="001D3DB4">
      <w:pPr>
        <w:pStyle w:val="Titre4"/>
      </w:pPr>
      <w:r w:rsidRPr="00F23C83">
        <w:t xml:space="preserve">Une remarque sur les droits positifs </w:t>
      </w:r>
    </w:p>
    <w:p w14:paraId="675B992B" w14:textId="77777777" w:rsidR="00B85A3E" w:rsidRPr="00F23C83" w:rsidRDefault="00226EF5" w:rsidP="001C087C">
      <w:pPr>
        <w:pStyle w:val="Paragrsimple"/>
      </w:pPr>
      <w:r w:rsidRPr="00F23C83">
        <w:t xml:space="preserve">À certains égards, la demande </w:t>
      </w:r>
      <w:r w:rsidR="00C14E50" w:rsidRPr="00F23C83">
        <w:t xml:space="preserve">de la Clinique </w:t>
      </w:r>
      <w:r w:rsidRPr="00F23C83">
        <w:t>pourrait être formulée comme un argument en faveur d’une obligation positive de l’État de fournir un logement adéquat. La question de savoir s’il existe un droit autonome à un logement adéquat n’a pas reçu de réponse définitive dans aucune décision liant la Cour, mais plusieurs affaires ont rejeté cette proposition en s’appuyant sur des cas où la Cour suprême a nié l’existence de droits positifs</w:t>
      </w:r>
      <w:r>
        <w:rPr>
          <w:rStyle w:val="Appelnotedebasdep"/>
          <w:lang w:val="en-US"/>
        </w:rPr>
        <w:footnoteReference w:id="34"/>
      </w:r>
      <w:r w:rsidR="00F23C83">
        <w:t>.</w:t>
      </w:r>
    </w:p>
    <w:p w14:paraId="400FECAC" w14:textId="77777777" w:rsidR="00B85A3E" w:rsidRPr="00F23C83" w:rsidRDefault="00226EF5" w:rsidP="001C087C">
      <w:pPr>
        <w:pStyle w:val="Paragrsimple"/>
      </w:pPr>
      <w:r w:rsidRPr="00F23C83">
        <w:t>La</w:t>
      </w:r>
      <w:r w:rsidR="00F23C83">
        <w:t>Tribunal</w:t>
      </w:r>
      <w:r w:rsidRPr="00F23C83">
        <w:t>ne considère pas que</w:t>
      </w:r>
      <w:r w:rsidR="001C087C" w:rsidRPr="00F23C83">
        <w:t xml:space="preserve"> la </w:t>
      </w:r>
      <w:r w:rsidRPr="00F23C83">
        <w:t xml:space="preserve">Clinique invoque un droit à une intervention positive de l’État </w:t>
      </w:r>
      <w:r w:rsidR="001C087C" w:rsidRPr="00F23C83">
        <w:t xml:space="preserve">; celle-ci soutient plutôt qu’une obligation n’existe que </w:t>
      </w:r>
      <w:r w:rsidRPr="00F23C83">
        <w:t xml:space="preserve">dans la mesure où </w:t>
      </w:r>
      <w:r w:rsidR="001C087C" w:rsidRPr="00F23C83">
        <w:t xml:space="preserve">l’État cherche à priver </w:t>
      </w:r>
      <w:r w:rsidRPr="00F23C83">
        <w:t xml:space="preserve">les résidents </w:t>
      </w:r>
      <w:r w:rsidR="001C087C" w:rsidRPr="00F23C83">
        <w:t xml:space="preserve">de l’abri qu’ils se sont eux-mêmes aménagé. </w:t>
      </w:r>
      <w:r w:rsidRPr="00F23C83">
        <w:t xml:space="preserve">Il n’en reste pas moins que, si les arguments de la Clinique sont retenus, la Ville doit proposer des solutions de rechange si elle souhaite exercer ses droits en matière d’espaces publics.  </w:t>
      </w:r>
    </w:p>
    <w:p w14:paraId="3DF76B76" w14:textId="77777777" w:rsidR="001C087C" w:rsidRPr="00F23C83" w:rsidRDefault="00226EF5" w:rsidP="00B85A3E">
      <w:pPr>
        <w:pStyle w:val="Paragrsimple"/>
      </w:pPr>
      <w:r w:rsidRPr="00F23C83">
        <w:t xml:space="preserve">Il n’est pas rare que des demandes soient formulées comme </w:t>
      </w:r>
      <w:r w:rsidR="00B85A3E" w:rsidRPr="00F23C83">
        <w:t xml:space="preserve">s’appuyant sur des droits </w:t>
      </w:r>
      <w:r w:rsidRPr="00F23C83">
        <w:t xml:space="preserve">positifs ou </w:t>
      </w:r>
      <w:r w:rsidR="00B85A3E" w:rsidRPr="00F23C83">
        <w:t xml:space="preserve">des libertés </w:t>
      </w:r>
      <w:r w:rsidRPr="00F23C83">
        <w:t>négatives</w:t>
      </w:r>
      <w:r w:rsidR="00B85A3E" w:rsidRPr="00F23C83">
        <w:t xml:space="preserve">, </w:t>
      </w:r>
      <w:r w:rsidRPr="00F23C83">
        <w:t xml:space="preserve">selon la manière dont elles sont interprétées. </w:t>
      </w:r>
      <w:r w:rsidR="00E178D8" w:rsidRPr="00F23C83">
        <w:t xml:space="preserve">La Cour suprême a </w:t>
      </w:r>
      <w:r w:rsidR="00786E23" w:rsidRPr="00F23C83">
        <w:t xml:space="preserve">toutefois </w:t>
      </w:r>
      <w:r w:rsidR="00E178D8" w:rsidRPr="00F23C83">
        <w:t xml:space="preserve">averti </w:t>
      </w:r>
      <w:r w:rsidR="00786E23" w:rsidRPr="00F23C83">
        <w:t xml:space="preserve">que les tribunaux ne devaient pas </w:t>
      </w:r>
      <w:r w:rsidR="00B85A3E" w:rsidRPr="00F23C83">
        <w:t xml:space="preserve">adopter </w:t>
      </w:r>
      <w:r w:rsidR="00E178D8" w:rsidRPr="00F23C83">
        <w:t>une approche dogmatique quant à la formulation permettant de trancher la question</w:t>
      </w:r>
      <w:r>
        <w:rPr>
          <w:rStyle w:val="Appelnotedebasdep"/>
          <w:lang w:val="en-US"/>
        </w:rPr>
        <w:footnoteReference w:id="35"/>
      </w:r>
      <w:r w:rsidR="00F23C83">
        <w:t>.</w:t>
      </w:r>
      <w:r w:rsidR="00E178D8" w:rsidRPr="00F23C83">
        <w:t xml:space="preserve"> Une </w:t>
      </w:r>
      <w:r w:rsidR="00B85A3E" w:rsidRPr="00F23C83">
        <w:t>interprétation</w:t>
      </w:r>
      <w:r w:rsidR="00E178D8" w:rsidRPr="00F23C83">
        <w:t xml:space="preserve"> téléologique </w:t>
      </w:r>
      <w:r w:rsidR="00B85A3E" w:rsidRPr="00F23C83">
        <w:t xml:space="preserve">des droits, sensible au contexte, </w:t>
      </w:r>
      <w:r w:rsidR="00E178D8" w:rsidRPr="00F23C83">
        <w:t xml:space="preserve">est toujours requise.  </w:t>
      </w:r>
    </w:p>
    <w:p w14:paraId="57E253B3" w14:textId="77777777" w:rsidR="00134C46" w:rsidRPr="00F23C83" w:rsidRDefault="00226EF5" w:rsidP="00940E01">
      <w:pPr>
        <w:pStyle w:val="Paragrsimple"/>
      </w:pPr>
      <w:r w:rsidRPr="00F23C83">
        <w:t>À certains égards, la requête de la Clinique n’implique</w:t>
      </w:r>
      <w:r w:rsidR="009163EC" w:rsidRPr="00F23C83">
        <w:t xml:space="preserve"> pas </w:t>
      </w:r>
      <w:r w:rsidRPr="00F23C83">
        <w:t xml:space="preserve">d’obligation positive de la part de l’État, car elle ne revendique pas un droit absolu pour les résidents de vivre n’importe où sur le territoire de la Ville pendant une durée quelconque. Ce qu’elle revendique, c’est </w:t>
      </w:r>
      <w:r w:rsidRPr="00F23C83">
        <w:rPr>
          <w:i/>
          <w:iCs/>
        </w:rPr>
        <w:t>qu’en l’absence d’une solution de rechange adéquate</w:t>
      </w:r>
      <w:r w:rsidRPr="00F23C83">
        <w:t xml:space="preserve">, la Ville ne peut </w:t>
      </w:r>
      <w:r w:rsidRPr="00F23C83">
        <w:lastRenderedPageBreak/>
        <w:t xml:space="preserve">pas les expulser pour </w:t>
      </w:r>
      <w:r w:rsidR="009163EC" w:rsidRPr="00F23C83">
        <w:t xml:space="preserve">les exposer à </w:t>
      </w:r>
      <w:r w:rsidRPr="00F23C83">
        <w:t xml:space="preserve">une situation plus dangereuse. Ainsi, la revendication n’est pas purement positive, mais implique une obligation positive si la Ville souhaite exercer son autorité sur le domaine public conformément à la loi. </w:t>
      </w:r>
    </w:p>
    <w:p w14:paraId="20B1DEF5" w14:textId="77777777" w:rsidR="004C37AB" w:rsidRPr="00F23C83" w:rsidRDefault="00226EF5" w:rsidP="00940E01">
      <w:pPr>
        <w:pStyle w:val="Paragrsimple"/>
      </w:pPr>
      <w:r w:rsidRPr="00F23C83">
        <w:t>Bien que la Cour suprême du Canada ait reconnu des obligations positives de l’État au titre de certains droits garantis par la Charte et dans certaines circonstances</w:t>
      </w:r>
      <w:r>
        <w:rPr>
          <w:rStyle w:val="Appelnotedebasdep"/>
          <w:lang w:val="en-US"/>
        </w:rPr>
        <w:footnoteReference w:id="36"/>
      </w:r>
      <w:r w:rsidRPr="00F23C83">
        <w:t xml:space="preserve"> et qu’elle ait refusé de le faire dans d’autres</w:t>
      </w:r>
      <w:r>
        <w:rPr>
          <w:rStyle w:val="Appelnotedebasdep"/>
          <w:lang w:val="en-US"/>
        </w:rPr>
        <w:footnoteReference w:id="37"/>
      </w:r>
      <w:r w:rsidR="00C73DA8" w:rsidRPr="00F23C83">
        <w:t xml:space="preserve">, </w:t>
      </w:r>
      <w:r w:rsidRPr="00F23C83">
        <w:t>elle n’a jamais reconnu d’obligation positive au titre de l’article 7. La question de savoir si l’article 7 peut, dans certaines circonstances, imposer une telle obligation reste ouverte</w:t>
      </w:r>
      <w:r w:rsidR="00C5355B" w:rsidRPr="00F23C83">
        <w:t xml:space="preserve">.   </w:t>
      </w:r>
    </w:p>
    <w:p w14:paraId="62C32A2E" w14:textId="77777777" w:rsidR="001F446B" w:rsidRPr="00F23C83" w:rsidRDefault="00226EF5" w:rsidP="001F446B">
      <w:pPr>
        <w:pStyle w:val="Paragrsimple"/>
      </w:pPr>
      <w:r w:rsidRPr="00F23C83">
        <w:t xml:space="preserve">Dans </w:t>
      </w:r>
      <w:r w:rsidRPr="00F23C83">
        <w:rPr>
          <w:i/>
          <w:iCs/>
        </w:rPr>
        <w:t>l’affaire Gosselin</w:t>
      </w:r>
      <w:r w:rsidR="00C73DA8" w:rsidRPr="00F23C83">
        <w:t xml:space="preserve">, </w:t>
      </w:r>
      <w:r w:rsidR="009163EC" w:rsidRPr="00F23C83">
        <w:t xml:space="preserve">la majorité de la </w:t>
      </w:r>
      <w:r w:rsidRPr="00F23C83">
        <w:t xml:space="preserve">Cour suprême a refusé </w:t>
      </w:r>
      <w:r w:rsidR="001C087C" w:rsidRPr="00F23C83">
        <w:t xml:space="preserve">d’interpréter l’article 7 comme incluant des obligations positives </w:t>
      </w:r>
      <w:r w:rsidRPr="00F23C83">
        <w:t xml:space="preserve">au motif que la preuve dont elle disposait n’étayait pas </w:t>
      </w:r>
      <w:r w:rsidR="00E852E4" w:rsidRPr="00F23C83">
        <w:t xml:space="preserve">l’interprétation proposée de </w:t>
      </w:r>
      <w:r w:rsidR="001C087C" w:rsidRPr="00F23C83">
        <w:t>l’article</w:t>
      </w:r>
      <w:r w:rsidR="00E852E4" w:rsidRPr="00F23C83">
        <w:t xml:space="preserve"> 7</w:t>
      </w:r>
      <w:r>
        <w:rPr>
          <w:rStyle w:val="Appelnotedebasdep"/>
          <w:lang w:val="en-US"/>
        </w:rPr>
        <w:footnoteReference w:id="38"/>
      </w:r>
      <w:r w:rsidR="00F23C83">
        <w:t>.</w:t>
      </w:r>
      <w:r w:rsidRPr="00F23C83">
        <w:t xml:space="preserve"> </w:t>
      </w:r>
      <w:r w:rsidR="009163EC" w:rsidRPr="00F23C83">
        <w:t xml:space="preserve">La </w:t>
      </w:r>
      <w:r w:rsidRPr="00F23C83">
        <w:t>majorité observe toutefois que ses motifs « laissent ouverte la possibilité qu’une obligation positive de préserver la vie, la liberté ou la sécurité de la personne puisse être établie dans des circonstances particulières »</w:t>
      </w:r>
      <w:bookmarkStart w:id="2" w:name="_Ref81569777"/>
      <w:bookmarkEnd w:id="2"/>
      <w:r w:rsidR="001C087C" w:rsidRPr="00F23C83">
        <w:t xml:space="preserve"> </w:t>
      </w:r>
      <w:r>
        <w:rPr>
          <w:rStyle w:val="Appelnotedebasdep"/>
          <w:lang w:val="en-US"/>
        </w:rPr>
        <w:footnoteReference w:id="39"/>
      </w:r>
      <w:r w:rsidR="00F23C83">
        <w:t>.</w:t>
      </w:r>
      <w:r w:rsidRPr="00F23C83">
        <w:t xml:space="preserve"> </w:t>
      </w:r>
    </w:p>
    <w:p w14:paraId="743603FE" w14:textId="77777777" w:rsidR="001F446B" w:rsidRPr="00F23C83" w:rsidRDefault="00226EF5" w:rsidP="00940E01">
      <w:pPr>
        <w:pStyle w:val="Paragrsimple"/>
      </w:pPr>
      <w:r w:rsidRPr="00F23C83">
        <w:t xml:space="preserve">Une telle obligation n’est pas inconnue du droit canadien. </w:t>
      </w:r>
      <w:r w:rsidR="009163EC" w:rsidRPr="00F23C83">
        <w:t xml:space="preserve">L’article 2 de la Charte québécoise, par exemple, confère un droit à l’assistance à toute personne dont la vie est en danger et impose au public et à l’État l’obligation correspondante de fournir l’aide nécessaire et immédiate. </w:t>
      </w:r>
    </w:p>
    <w:p w14:paraId="57442CF2" w14:textId="77777777" w:rsidR="002E4810" w:rsidRPr="00DE0415" w:rsidRDefault="00226EF5" w:rsidP="002E4810">
      <w:pPr>
        <w:pStyle w:val="Titre3"/>
        <w:rPr>
          <w:lang w:val="en-US"/>
        </w:rPr>
      </w:pPr>
      <w:r w:rsidRPr="00DE0415">
        <w:rPr>
          <w:lang w:val="en-US"/>
        </w:rPr>
        <w:t>Préjudice grave ou irréparable</w:t>
      </w:r>
    </w:p>
    <w:p w14:paraId="6D7D1B8D" w14:textId="77777777" w:rsidR="00D82F8D" w:rsidRPr="00F23C83" w:rsidRDefault="00226EF5" w:rsidP="00D82F8D">
      <w:pPr>
        <w:pStyle w:val="Paragrsimple"/>
      </w:pPr>
      <w:r w:rsidRPr="00F23C83">
        <w:t xml:space="preserve">L’article 511 du </w:t>
      </w:r>
      <w:r w:rsidRPr="00F23C83">
        <w:rPr>
          <w:i/>
          <w:iCs/>
        </w:rPr>
        <w:t xml:space="preserve">Code de procédure civile </w:t>
      </w:r>
      <w:r w:rsidRPr="00F23C83">
        <w:t xml:space="preserve">prévoit </w:t>
      </w:r>
      <w:r w:rsidR="003A6D28" w:rsidRPr="00F23C83">
        <w:t xml:space="preserve">qu’« </w:t>
      </w:r>
      <w:r w:rsidRPr="00F23C83">
        <w:t xml:space="preserve">[u]ne injonction interlocutoire peut être accordée si le demandeur semble y avoir droit et s’il est jugé nécessaire de prévenir un préjudice grave </w:t>
      </w:r>
      <w:r w:rsidRPr="00F23C83">
        <w:rPr>
          <w:u w:val="single"/>
        </w:rPr>
        <w:t xml:space="preserve">ou </w:t>
      </w:r>
      <w:r w:rsidRPr="00F23C83">
        <w:t xml:space="preserve">irréparable au demandeur ou d’éviter de créer une situation de fait ou de droit qui rendrait sans effet le jugement sur le fond </w:t>
      </w:r>
      <w:r w:rsidR="003A6D28" w:rsidRPr="00F23C83">
        <w:t>».</w:t>
      </w:r>
    </w:p>
    <w:p w14:paraId="7396CFAE" w14:textId="77777777" w:rsidR="00D82F8D" w:rsidRPr="00F23C83" w:rsidRDefault="00226EF5" w:rsidP="00E26E4A">
      <w:pPr>
        <w:pStyle w:val="Paragrsimple"/>
      </w:pPr>
      <w:r w:rsidRPr="00F23C83">
        <w:t xml:space="preserve">La Clinique invoque à la fois un préjudice grave et irréparable. </w:t>
      </w:r>
    </w:p>
    <w:p w14:paraId="7BAA2FEE" w14:textId="77777777" w:rsidR="002E4810" w:rsidRPr="00F23C83" w:rsidRDefault="00226EF5" w:rsidP="00E26E4A">
      <w:pPr>
        <w:pStyle w:val="Paragrsimple"/>
      </w:pPr>
      <w:r w:rsidRPr="00F23C83">
        <w:t>Si elles sont acceptées sur le fond, les déclarations sous serment des membres de la communauté et le rapport d’expertise de Caroline Leblanc</w:t>
      </w:r>
      <w:r>
        <w:rPr>
          <w:rStyle w:val="Appelnotedebasdep"/>
          <w:lang w:val="en-US"/>
        </w:rPr>
        <w:footnoteReference w:id="40"/>
      </w:r>
      <w:r w:rsidRPr="00F23C83">
        <w:t xml:space="preserve"> appuient la conclusion selon laquelle le démantèlement du camp risque d’avoir des effets </w:t>
      </w:r>
      <w:r w:rsidR="0056671F" w:rsidRPr="00F23C83">
        <w:t xml:space="preserve">graves </w:t>
      </w:r>
      <w:r w:rsidRPr="00F23C83">
        <w:t xml:space="preserve">sur la sécurité </w:t>
      </w:r>
      <w:r w:rsidR="00CC4FC7" w:rsidRPr="00F23C83">
        <w:t>des membres de la communauté</w:t>
      </w:r>
      <w:r w:rsidR="009573FD" w:rsidRPr="00F23C83">
        <w:t xml:space="preserve">, </w:t>
      </w:r>
      <w:r w:rsidR="00CC4FC7" w:rsidRPr="00F23C83">
        <w:t xml:space="preserve">notamment parce qu’ils risqueraient de perdre le </w:t>
      </w:r>
      <w:r w:rsidRPr="00F23C83">
        <w:t xml:space="preserve">système de soutien mutuel qu’il </w:t>
      </w:r>
      <w:r w:rsidR="00CC4FC7" w:rsidRPr="00F23C83">
        <w:t>leur</w:t>
      </w:r>
      <w:r w:rsidRPr="00F23C83">
        <w:t xml:space="preserve"> procure</w:t>
      </w:r>
      <w:r w:rsidR="009573FD" w:rsidRPr="00F23C83">
        <w:t xml:space="preserve">, </w:t>
      </w:r>
      <w:r w:rsidR="00CC4FC7" w:rsidRPr="00F23C83">
        <w:t xml:space="preserve">les exposant ainsi à </w:t>
      </w:r>
      <w:r w:rsidRPr="00F23C83">
        <w:t xml:space="preserve">l’instabilité et </w:t>
      </w:r>
      <w:r w:rsidR="00CC4FC7" w:rsidRPr="00F23C83">
        <w:t xml:space="preserve">à </w:t>
      </w:r>
      <w:r w:rsidRPr="00F23C83">
        <w:t>l’isolement</w:t>
      </w:r>
      <w:r w:rsidR="00CC4FC7" w:rsidRPr="00F23C83">
        <w:t>.</w:t>
      </w:r>
    </w:p>
    <w:p w14:paraId="4AFDC90D" w14:textId="77777777" w:rsidR="00CC4FC7" w:rsidRPr="00DE0415" w:rsidRDefault="00226EF5" w:rsidP="00E26E4A">
      <w:pPr>
        <w:pStyle w:val="Paragrsimple"/>
        <w:rPr>
          <w:lang w:val="en-US"/>
        </w:rPr>
      </w:pPr>
      <w:r w:rsidRPr="00F23C83">
        <w:lastRenderedPageBreak/>
        <w:t xml:space="preserve">La Ville fait valoir que </w:t>
      </w:r>
      <w:r w:rsidR="009573FD" w:rsidRPr="00F23C83">
        <w:t xml:space="preserve">si </w:t>
      </w:r>
      <w:r w:rsidRPr="00F23C83">
        <w:t>l’injonction</w:t>
      </w:r>
      <w:r w:rsidR="007F7BA1" w:rsidRPr="00F23C83">
        <w:t xml:space="preserve"> permanente </w:t>
      </w:r>
      <w:r w:rsidRPr="00F23C83">
        <w:t>est accordée sur le fond</w:t>
      </w:r>
      <w:r w:rsidR="0056671F" w:rsidRPr="00F23C83">
        <w:t xml:space="preserve">, </w:t>
      </w:r>
      <w:r w:rsidRPr="00F23C83">
        <w:t xml:space="preserve">les résidents pourraient réintégrer le parc de planche à roulettes. Bien que cela puisse être vrai, il importe de noter que les éléments de preuve présentés par la Clinique appuient la conclusion selon laquelle le démantèlement du camp </w:t>
      </w:r>
      <w:r w:rsidR="0056671F" w:rsidRPr="00F23C83">
        <w:t xml:space="preserve">sans solution de rechange adéquate </w:t>
      </w:r>
      <w:r w:rsidRPr="00F23C83">
        <w:t xml:space="preserve">cause un préjudice. S’appuyant sur des expériences tirées d’autres </w:t>
      </w:r>
      <w:r w:rsidR="0056671F" w:rsidRPr="00F23C83">
        <w:t xml:space="preserve">cas de </w:t>
      </w:r>
      <w:r w:rsidRPr="00F23C83">
        <w:t xml:space="preserve">démantèlement, le rapport d’expertise de Caroline Leblanc conclut que le démantèlement entraîne des conséquences négatives. </w:t>
      </w:r>
      <w:r w:rsidRPr="00DE0415">
        <w:rPr>
          <w:lang w:val="en-US"/>
        </w:rPr>
        <w:t xml:space="preserve">Elle estime notamment que le démantèlement entraîne : </w:t>
      </w:r>
    </w:p>
    <w:p w14:paraId="0516E0DA" w14:textId="77777777" w:rsidR="00CC4FC7" w:rsidRPr="00F23C83" w:rsidRDefault="00226EF5" w:rsidP="00CC4FC7">
      <w:pPr>
        <w:pStyle w:val="Paragrsimple"/>
        <w:numPr>
          <w:ilvl w:val="0"/>
          <w:numId w:val="36"/>
        </w:numPr>
      </w:pPr>
      <w:r w:rsidRPr="00F23C83">
        <w:t xml:space="preserve"> Une augmentation du stress et de l’insécurité découlant des déplacements répétés et de l’incertitude quant à leur acceptation dans un nouvel endroit.</w:t>
      </w:r>
    </w:p>
    <w:p w14:paraId="59BCB89A" w14:textId="77777777" w:rsidR="00CC4FC7" w:rsidRPr="00F23C83" w:rsidRDefault="00226EF5" w:rsidP="00CC4FC7">
      <w:pPr>
        <w:pStyle w:val="Paragrsimple"/>
        <w:numPr>
          <w:ilvl w:val="0"/>
          <w:numId w:val="36"/>
        </w:numPr>
      </w:pPr>
      <w:r w:rsidRPr="00F23C83">
        <w:t xml:space="preserve"> Une mobilité réduite et une participation moindre aux services, car les personnes peuvent se sentir obligées de rester auprès de leurs biens et de leurs animaux de compagnie pour les protéger contre la perte.</w:t>
      </w:r>
    </w:p>
    <w:p w14:paraId="3802C8A2" w14:textId="77777777" w:rsidR="00CC4FC7" w:rsidRPr="00F23C83" w:rsidRDefault="00226EF5" w:rsidP="00CC4FC7">
      <w:pPr>
        <w:pStyle w:val="Paragrsimple"/>
        <w:numPr>
          <w:ilvl w:val="0"/>
          <w:numId w:val="36"/>
        </w:numPr>
      </w:pPr>
      <w:r w:rsidRPr="00F23C83">
        <w:t xml:space="preserve"> Un isolement social accru, les personnes recherchant des endroits plus isolés pour éviter de nouvelles expulsions ou </w:t>
      </w:r>
      <w:r w:rsidR="007F7BA1" w:rsidRPr="00F23C83">
        <w:t>un nouveau démantèlement</w:t>
      </w:r>
      <w:r w:rsidRPr="00F23C83">
        <w:t>.</w:t>
      </w:r>
    </w:p>
    <w:p w14:paraId="5DD7BCC7" w14:textId="77777777" w:rsidR="00CC4FC7" w:rsidRPr="00F23C83" w:rsidRDefault="00226EF5" w:rsidP="00CC4FC7">
      <w:pPr>
        <w:pStyle w:val="Paragrsimple"/>
        <w:numPr>
          <w:ilvl w:val="0"/>
          <w:numId w:val="36"/>
        </w:numPr>
      </w:pPr>
      <w:r w:rsidRPr="00F23C83">
        <w:t xml:space="preserve"> Une perte de soutien communautaire et de sécurité lorsque les personnes réduisent la taille de leurs campements ou se séparent des autres.</w:t>
      </w:r>
    </w:p>
    <w:p w14:paraId="3871F489" w14:textId="77777777" w:rsidR="00CC4FC7" w:rsidRPr="00F23C83" w:rsidRDefault="00226EF5" w:rsidP="00CC4FC7">
      <w:pPr>
        <w:pStyle w:val="Paragrsimple"/>
        <w:numPr>
          <w:ilvl w:val="0"/>
          <w:numId w:val="36"/>
        </w:numPr>
      </w:pPr>
      <w:r w:rsidRPr="00F23C83">
        <w:t xml:space="preserve"> Des risques accrus pour la santé et la sécurité personnelle, car l’isolement réduit les chances que d’autres puissent apporter de l’aide en cas d’urgence, de maladie, de violence, de surdoses ou de crises de santé mentale.</w:t>
      </w:r>
    </w:p>
    <w:p w14:paraId="06BF083C" w14:textId="77777777" w:rsidR="00D82F8D" w:rsidRPr="00F23C83" w:rsidRDefault="00226EF5" w:rsidP="00D82F8D">
      <w:pPr>
        <w:pStyle w:val="Paragrsimple"/>
      </w:pPr>
      <w:r w:rsidRPr="00F23C83">
        <w:t>La Ville fait également valoir que le préjudice peut être atténué en proposant un emplacement alternatif à proximité pour le campement</w:t>
      </w:r>
      <w:r w:rsidR="0056671F" w:rsidRPr="00F23C83">
        <w:t xml:space="preserve">, </w:t>
      </w:r>
      <w:r w:rsidRPr="00F23C83">
        <w:t>où la communauté pourrait se reconstituer</w:t>
      </w:r>
      <w:r w:rsidR="0056671F" w:rsidRPr="00F23C83">
        <w:t xml:space="preserve">. Si les preuves à l’appui de cette conclusion </w:t>
      </w:r>
      <w:r w:rsidR="009163EC" w:rsidRPr="00F23C83">
        <w:t xml:space="preserve">étaient </w:t>
      </w:r>
      <w:r w:rsidR="0056671F" w:rsidRPr="00F23C83">
        <w:t xml:space="preserve">suffisantes et incontestées, cela permettrait de conclure que le préjudice pourrait être considérablement atténué. </w:t>
      </w:r>
    </w:p>
    <w:p w14:paraId="69AB9ED1" w14:textId="77777777" w:rsidR="00FB0C26" w:rsidRPr="00F23C83" w:rsidRDefault="00226EF5" w:rsidP="00D82F8D">
      <w:pPr>
        <w:pStyle w:val="Paragrsimple"/>
      </w:pPr>
      <w:r w:rsidRPr="00F23C83">
        <w:t>La Clinique fait valoir que le Parc sans nom n’est pas une solution de rechange viable, car les résidents ne peuvent pas y dormir. Selon ce point de vue, les résidents se retrouveraient sans solution de rechange viable.</w:t>
      </w:r>
    </w:p>
    <w:p w14:paraId="77F89A87" w14:textId="77777777" w:rsidR="009B7B4E" w:rsidRPr="00F23C83" w:rsidRDefault="00226EF5" w:rsidP="00D82F8D">
      <w:pPr>
        <w:pStyle w:val="Paragrsimple"/>
      </w:pPr>
      <w:r w:rsidRPr="00F23C83">
        <w:t>Le résultat est similaire en ce qui concerne L’Entrepôt 77. Si le déplacement en soi ne peut constituer un préjudice, il y a peu de fondement pour limiter les déplacements répétés. Pourtant</w:t>
      </w:r>
      <w:r w:rsidR="009573FD" w:rsidRPr="00F23C83">
        <w:t xml:space="preserve">, </w:t>
      </w:r>
      <w:r w:rsidRPr="00F23C83">
        <w:t xml:space="preserve">la question de fond concerne le droit revendiqué de rester dans un lieu sûr et durable. </w:t>
      </w:r>
    </w:p>
    <w:p w14:paraId="174D2EBF" w14:textId="77777777" w:rsidR="0057542B" w:rsidRPr="00F23C83" w:rsidRDefault="00226EF5" w:rsidP="0057542B">
      <w:pPr>
        <w:pStyle w:val="Titre3"/>
      </w:pPr>
      <w:r w:rsidRPr="00F23C83">
        <w:lastRenderedPageBreak/>
        <w:t xml:space="preserve">La balance des intérêts </w:t>
      </w:r>
      <w:r w:rsidR="009D7BF3" w:rsidRPr="00F23C83">
        <w:t xml:space="preserve">penche en faveur de la limitation du risque pour </w:t>
      </w:r>
      <w:r w:rsidR="00FB0C26" w:rsidRPr="00F23C83">
        <w:t xml:space="preserve">les résidents </w:t>
      </w:r>
      <w:r w:rsidR="009D7BF3" w:rsidRPr="00F23C83">
        <w:t>du campement</w:t>
      </w:r>
    </w:p>
    <w:p w14:paraId="0707190D" w14:textId="77777777" w:rsidR="009D7BF3" w:rsidRPr="00F23C83" w:rsidRDefault="00226EF5" w:rsidP="009D7BF3">
      <w:pPr>
        <w:pStyle w:val="Paragrsimple"/>
      </w:pPr>
      <w:r w:rsidRPr="00F23C83">
        <w:t>À cette troisième étape de l’analyse</w:t>
      </w:r>
      <w:r w:rsidR="00AF5E83" w:rsidRPr="00F23C83">
        <w:t xml:space="preserve">, </w:t>
      </w:r>
      <w:r w:rsidR="00F23C83">
        <w:t>le Tribunal</w:t>
      </w:r>
      <w:r w:rsidRPr="00F23C83">
        <w:t xml:space="preserve"> doit comparer les deux issues proposées et mettre en balance le préjudice allégué par chaque partie. La Clinique soutient que l’analyse penche clairement en </w:t>
      </w:r>
      <w:r w:rsidR="00FB0C26" w:rsidRPr="00F23C83">
        <w:t xml:space="preserve">faveur de </w:t>
      </w:r>
      <w:r w:rsidRPr="00F23C83">
        <w:t xml:space="preserve">la délivrance </w:t>
      </w:r>
      <w:r w:rsidR="0054543F" w:rsidRPr="00F23C83">
        <w:t xml:space="preserve">de l’ordonnance, car ne pas la délivrer met en péril les droits fondamentaux des résidents par rapport à l’intérêt récréatif du public. De plus, </w:t>
      </w:r>
      <w:r w:rsidR="009573FD" w:rsidRPr="00F23C83">
        <w:t xml:space="preserve">la Clinique conteste que le campement nuise </w:t>
      </w:r>
      <w:r w:rsidR="0054543F" w:rsidRPr="00F23C83">
        <w:t xml:space="preserve">à l’utilisation récréative </w:t>
      </w:r>
      <w:r w:rsidR="009573FD" w:rsidRPr="00F23C83">
        <w:t>du parc de planche à roulettes</w:t>
      </w:r>
      <w:r w:rsidR="00964D47" w:rsidRPr="00F23C83">
        <w:t xml:space="preserve">. </w:t>
      </w:r>
    </w:p>
    <w:p w14:paraId="3658BC06" w14:textId="77777777" w:rsidR="0054543F" w:rsidRPr="00F23C83" w:rsidRDefault="00226EF5" w:rsidP="009D7BF3">
      <w:pPr>
        <w:pStyle w:val="Paragrsimple"/>
      </w:pPr>
      <w:r w:rsidRPr="00F23C83">
        <w:t xml:space="preserve">La Ville suggère que le préjudice </w:t>
      </w:r>
      <w:r w:rsidR="00FB0C26" w:rsidRPr="00F23C83">
        <w:t xml:space="preserve">causé à ses intérêts </w:t>
      </w:r>
      <w:r w:rsidRPr="00F23C83">
        <w:t xml:space="preserve">est plus grave </w:t>
      </w:r>
      <w:r w:rsidR="003A6D28" w:rsidRPr="00F23C83">
        <w:t xml:space="preserve">– </w:t>
      </w:r>
      <w:r w:rsidRPr="00F23C83">
        <w:t xml:space="preserve">limitant son droit de gérer les biens publics dans l’intérêt public. La Ville fait valoir que </w:t>
      </w:r>
      <w:r w:rsidR="00FB0C26" w:rsidRPr="00F23C83">
        <w:t xml:space="preserve">si l’ordonnance n’est pas rendue, </w:t>
      </w:r>
      <w:r w:rsidRPr="00F23C83">
        <w:t xml:space="preserve">le préjudice causé aux résidents du campement se limite à l’inconvénient du déménagement, car des solutions de rechange adéquates ont été proposées. </w:t>
      </w:r>
    </w:p>
    <w:p w14:paraId="053203C8" w14:textId="77777777" w:rsidR="0093536B" w:rsidRPr="00F23C83" w:rsidRDefault="00226EF5" w:rsidP="0093536B">
      <w:pPr>
        <w:pStyle w:val="Paragrsimple"/>
      </w:pPr>
      <w:r w:rsidRPr="00F23C83">
        <w:t xml:space="preserve">Comme les preuves sont contestées, </w:t>
      </w:r>
      <w:r w:rsidR="00F23C83">
        <w:t>le Tribunal</w:t>
      </w:r>
      <w:r w:rsidR="00F23C83" w:rsidRPr="00F23C83">
        <w:t xml:space="preserve"> </w:t>
      </w:r>
      <w:r w:rsidRPr="00F23C83">
        <w:t xml:space="preserve">doit faire preuve de prudence. La Clinique </w:t>
      </w:r>
      <w:r w:rsidR="009573FD" w:rsidRPr="00F23C83">
        <w:t xml:space="preserve">a présenté </w:t>
      </w:r>
      <w:r w:rsidRPr="00F23C83">
        <w:t>des preuves selon lesquelles le campement n’entrave pas l’utilisation du skatepark ou du terrain de basket</w:t>
      </w:r>
      <w:r>
        <w:rPr>
          <w:rStyle w:val="Appelnotedebasdep"/>
          <w:lang w:val="en-US"/>
        </w:rPr>
        <w:footnoteReference w:id="41"/>
      </w:r>
      <w:r w:rsidR="00F23C83">
        <w:t>.</w:t>
      </w:r>
      <w:r w:rsidRPr="00F23C83">
        <w:t xml:space="preserve"> La Ville </w:t>
      </w:r>
      <w:r w:rsidR="009573FD" w:rsidRPr="00F23C83">
        <w:t xml:space="preserve">a présenté </w:t>
      </w:r>
      <w:r w:rsidRPr="00F23C83">
        <w:t xml:space="preserve">des preuves à l’appui de la conclusion opposée. Il s’agit d’une question qui doit être tranchée sur le fond. </w:t>
      </w:r>
      <w:r w:rsidR="00FB0C26" w:rsidRPr="00F23C83">
        <w:t xml:space="preserve">Ces conclusions de fait sont susceptibles d’avoir une incidence sur l’analyse des droits fondamentaux. </w:t>
      </w:r>
    </w:p>
    <w:p w14:paraId="6AC7BBB6" w14:textId="77777777" w:rsidR="0054543F" w:rsidRPr="00F23C83" w:rsidRDefault="00226EF5" w:rsidP="009D7BF3">
      <w:pPr>
        <w:pStyle w:val="Paragrsimple"/>
      </w:pPr>
      <w:r w:rsidRPr="00F23C83">
        <w:t xml:space="preserve">La preuve est également incertaine quant à la pertinence des solutions de rechange. Si le déménagement proposé </w:t>
      </w:r>
      <w:r w:rsidR="002F7163" w:rsidRPr="00F23C83">
        <w:t xml:space="preserve">devait se faire vers un emplacement </w:t>
      </w:r>
      <w:r w:rsidR="00F84622" w:rsidRPr="00F23C83">
        <w:t xml:space="preserve">durable </w:t>
      </w:r>
      <w:r w:rsidR="002F7163" w:rsidRPr="00F23C83">
        <w:t xml:space="preserve">garantissant la sécurité des résidents, la balance pencherait en faveur de la Ville. En effet, la Clinique a fait valoir </w:t>
      </w:r>
      <w:r w:rsidR="0093536B" w:rsidRPr="00F23C83">
        <w:t xml:space="preserve">lors de l’audience </w:t>
      </w:r>
      <w:r w:rsidR="002F7163" w:rsidRPr="00F23C83">
        <w:t xml:space="preserve">que si le </w:t>
      </w:r>
      <w:r w:rsidR="00303595" w:rsidRPr="00F23C83">
        <w:t xml:space="preserve">Champs </w:t>
      </w:r>
      <w:r w:rsidR="002F7163" w:rsidRPr="00F23C83">
        <w:t>des possibles</w:t>
      </w:r>
      <w:r>
        <w:rPr>
          <w:rStyle w:val="Appelnotedebasdep"/>
          <w:lang w:val="en-US"/>
        </w:rPr>
        <w:footnoteReference w:id="42"/>
      </w:r>
      <w:r w:rsidR="002F7163" w:rsidRPr="00F23C83">
        <w:t xml:space="preserve"> ou L’Entrepot 77 étaient proposés pour une durée indéterminée, l’ordonnance </w:t>
      </w:r>
      <w:r w:rsidR="00F23C83">
        <w:t>du Tribunal</w:t>
      </w:r>
      <w:r w:rsidR="002F7163" w:rsidRPr="00F23C83">
        <w:t xml:space="preserve"> ne serait pas nécessaire. </w:t>
      </w:r>
    </w:p>
    <w:p w14:paraId="0B792DD5" w14:textId="77777777" w:rsidR="002C5CE6" w:rsidRPr="00F23C83" w:rsidRDefault="00226EF5" w:rsidP="002C5CE6">
      <w:pPr>
        <w:pStyle w:val="Paragrsimple"/>
      </w:pPr>
      <w:r w:rsidRPr="00F23C83">
        <w:t xml:space="preserve">Enfin, bien que </w:t>
      </w:r>
      <w:r w:rsidR="00F23C83">
        <w:t xml:space="preserve">le Tribunal reconnaisse </w:t>
      </w:r>
      <w:r w:rsidRPr="00F23C83">
        <w:t>que l’impact sur la Ville et l’intérêt public n’est pas négligeable, il convient de noter que cette ordonnance, valable jusqu’au procès au fond, sera probablement de durée relativement courte</w:t>
      </w:r>
      <w:r>
        <w:rPr>
          <w:rStyle w:val="Appelnotedebasdep"/>
          <w:lang w:val="en-US"/>
        </w:rPr>
        <w:footnoteReference w:id="43"/>
      </w:r>
      <w:r w:rsidR="00F23C83">
        <w:t>.</w:t>
      </w:r>
      <w:r w:rsidRPr="00F23C83">
        <w:t xml:space="preserve"> </w:t>
      </w:r>
      <w:r w:rsidR="00F23C83">
        <w:t>Le Tribunal</w:t>
      </w:r>
      <w:r w:rsidRPr="00F23C83">
        <w:t xml:space="preserve"> a proposé de fixer l’audience au fond dès que les parties indiqueront que le dossier est prêt pour le </w:t>
      </w:r>
      <w:r w:rsidRPr="00F23C83">
        <w:lastRenderedPageBreak/>
        <w:t>procès et qu’elles sont disponibles</w:t>
      </w:r>
      <w:r>
        <w:rPr>
          <w:rStyle w:val="Appelnotedebasdep"/>
          <w:lang w:val="en-US"/>
        </w:rPr>
        <w:footnoteReference w:id="44"/>
      </w:r>
      <w:r w:rsidR="00F23C83">
        <w:t>.</w:t>
      </w:r>
      <w:r w:rsidRPr="00F23C83">
        <w:t xml:space="preserve"> Les dossiers des parties sont pratiquement complets.</w:t>
      </w:r>
    </w:p>
    <w:p w14:paraId="42DFE978" w14:textId="77777777" w:rsidR="002C5CE6" w:rsidRPr="002C5CE6" w:rsidRDefault="00226EF5" w:rsidP="002C5CE6">
      <w:pPr>
        <w:pStyle w:val="Paragrsimple"/>
        <w:rPr>
          <w:lang w:val="en-US"/>
        </w:rPr>
      </w:pPr>
      <w:r w:rsidRPr="00F23C83">
        <w:t xml:space="preserve">De plus, comme le soulignent les présents motifs, les circonstances peuvent évoluer, donnant lieu à d’autres options viables. </w:t>
      </w:r>
      <w:r>
        <w:rPr>
          <w:lang w:val="en-US"/>
        </w:rPr>
        <w:t xml:space="preserve">Les parties ne se trouvent pas dans </w:t>
      </w:r>
      <w:r w:rsidR="00A819FB">
        <w:rPr>
          <w:lang w:val="en-US"/>
        </w:rPr>
        <w:t>une impasse</w:t>
      </w:r>
      <w:r>
        <w:rPr>
          <w:lang w:val="en-US"/>
        </w:rPr>
        <w:t xml:space="preserve">. </w:t>
      </w:r>
    </w:p>
    <w:p w14:paraId="230C7710" w14:textId="77777777" w:rsidR="00F84622" w:rsidRPr="00F23C83" w:rsidRDefault="00226EF5" w:rsidP="00F84622">
      <w:pPr>
        <w:pStyle w:val="Paragrsimple"/>
      </w:pPr>
      <w:r w:rsidRPr="00F23C83">
        <w:t xml:space="preserve">À ce stade de la procédure, les éléments de preuve étant contestés, </w:t>
      </w:r>
      <w:r w:rsidR="00F23C83">
        <w:t>le Tribunal</w:t>
      </w:r>
      <w:r w:rsidRPr="00F23C83">
        <w:t xml:space="preserve"> estime que </w:t>
      </w:r>
      <w:r w:rsidR="00492022" w:rsidRPr="00F23C83">
        <w:t xml:space="preserve">la balance penche en faveur de l’octroi de l’ordonnance demandée. La Ville ne peut déplacer les résidents à moins qu’une solution de rechange adéquate ne soit trouvée. </w:t>
      </w:r>
      <w:r w:rsidRPr="00F23C83">
        <w:t xml:space="preserve">Il convient de noter que, lorsque les intérêts visés à l’article 7 sont en jeu, une participation significative au processus décisionnel est généralement requise. Un processus permettant d’évaluer l’adéquation des solutions de rechange disponibles constituerait probablement une base utile pour déterminer si les intérêts </w:t>
      </w:r>
      <w:r w:rsidR="003A6D28" w:rsidRPr="00F23C83">
        <w:t xml:space="preserve">des requérants </w:t>
      </w:r>
      <w:r w:rsidRPr="00F23C83">
        <w:t>visés à l’article 7 sont en jeu ou affectés de manière défavorable.</w:t>
      </w:r>
    </w:p>
    <w:p w14:paraId="30406BD1" w14:textId="77777777" w:rsidR="009B6D49" w:rsidRPr="00F23C83" w:rsidRDefault="00226EF5" w:rsidP="009B6D49">
      <w:pPr>
        <w:pStyle w:val="Paragrsimple"/>
        <w:rPr>
          <w:rFonts w:ascii="Times New Roman" w:hAnsi="Times New Roman"/>
          <w:lang w:eastAsia="fr-CA"/>
        </w:rPr>
      </w:pPr>
      <w:r>
        <w:t>Le Tribunal</w:t>
      </w:r>
      <w:r w:rsidRPr="00F23C83">
        <w:t xml:space="preserve"> note que rien dans la présente ordonnance n’empêche la Ville ou la police de prendre les mesures appropriées pour lutter contre les comportements criminels ou l’utilisation des installations du parc d’une manière clairement incompatible avec leur usage commun et prévu.</w:t>
      </w:r>
    </w:p>
    <w:p w14:paraId="327503F3" w14:textId="77777777" w:rsidR="009B6D49" w:rsidRPr="00F23C83" w:rsidRDefault="00226EF5" w:rsidP="00492022">
      <w:pPr>
        <w:pStyle w:val="Paragrsimple"/>
      </w:pPr>
      <w:r w:rsidRPr="00F23C83">
        <w:t xml:space="preserve">Dans sa déclaration sous serment, Sylvain Malo décrit un certain nombre d’incidents qu’il attribue à la présence du campement. Bien que certains de ces incidents puissent être associés au campement, ils ne sont pas inhérents à son existence et peuvent être traités directement. Les caractéristiques essentielles du campement sont la présence des résidents, de leurs tentes et de leurs effets personnels. À titre d’exemple, une chaise placée sur une rampe de skateboard ne fait pas partie du campement lui-même. C’est plutôt le comportement d’un individu, qu’il soit résident du campement ou non, qui peut être incompatible avec l’usage partagé de l’installation et qui doit être traité. </w:t>
      </w:r>
    </w:p>
    <w:p w14:paraId="4E253EA5" w14:textId="77777777" w:rsidR="009B6D49" w:rsidRPr="00F23C83" w:rsidRDefault="00226EF5" w:rsidP="00492022">
      <w:pPr>
        <w:pStyle w:val="Paragrsimple"/>
      </w:pPr>
      <w:r w:rsidRPr="00F23C83">
        <w:t>Cette distinction est au cœur de la position de la Clinique. La Clinique ne soutient pas que les résidents ont le droit de s’approprier les installations sportives du parc pour leur usage exclusif. Au contraire, elle conteste les preuves présentées par la Ville selon lesquelles le campement entrave l’utilisation de ces installations. Elle fait valoir que les tentes sont situées à côté des installations, et non sur celles-ci, et qu’elles n’empêchent pas leur usage partagé. Le droit revendiqué par la Clinique n’est donc pas un droit d’occuper les installations elles-mêmes, mais un droit de maintenir le campement à son emplacement actuel.</w:t>
      </w:r>
    </w:p>
    <w:p w14:paraId="05E110B8" w14:textId="77777777" w:rsidR="009907B7" w:rsidRPr="00DE0415" w:rsidRDefault="00226EF5" w:rsidP="009907B7">
      <w:pPr>
        <w:pStyle w:val="Titre3"/>
        <w:rPr>
          <w:lang w:val="en-US"/>
        </w:rPr>
      </w:pPr>
      <w:r w:rsidRPr="00DE0415">
        <w:rPr>
          <w:lang w:val="en-US"/>
        </w:rPr>
        <w:lastRenderedPageBreak/>
        <w:t>L'affaire est urgente</w:t>
      </w:r>
    </w:p>
    <w:p w14:paraId="264B0EFA" w14:textId="77777777" w:rsidR="009907B7" w:rsidRPr="00F23C83" w:rsidRDefault="00226EF5" w:rsidP="009907B7">
      <w:pPr>
        <w:pStyle w:val="Paragrsimple"/>
      </w:pPr>
      <w:r w:rsidRPr="00F23C83">
        <w:t xml:space="preserve">La condition d’urgence est remplie. </w:t>
      </w:r>
    </w:p>
    <w:p w14:paraId="288A6623" w14:textId="77777777" w:rsidR="009907B7" w:rsidRPr="00DE0415" w:rsidRDefault="00226EF5" w:rsidP="0093536B">
      <w:pPr>
        <w:pStyle w:val="Paragrsimple"/>
        <w:rPr>
          <w:lang w:val="en-US"/>
        </w:rPr>
      </w:pPr>
      <w:r w:rsidRPr="00F23C83">
        <w:t xml:space="preserve">Bien que la Ville ait accepté de ne prendre aucune mesure jusqu’à ce qu’il soit statué sur la demande de cette ordonnance, elle a l’intention de procéder au démantèlement du campement dès que possible. En l’absence d’une ordonnance du tribunal interdisant le démantèlement, la Ville estime qu’elle a le pouvoir de démanteler le campement. </w:t>
      </w:r>
      <w:r w:rsidR="00F41227" w:rsidRPr="00DE0415">
        <w:rPr>
          <w:lang w:val="en-US"/>
        </w:rPr>
        <w:t xml:space="preserve">Dans </w:t>
      </w:r>
      <w:r w:rsidR="009573FD" w:rsidRPr="00DE0415">
        <w:rPr>
          <w:lang w:val="en-US"/>
        </w:rPr>
        <w:t xml:space="preserve">ses </w:t>
      </w:r>
      <w:r w:rsidR="00F41227" w:rsidRPr="00DE0415">
        <w:rPr>
          <w:lang w:val="en-US"/>
        </w:rPr>
        <w:t xml:space="preserve">observations écrites, la Ville </w:t>
      </w:r>
      <w:r w:rsidR="0056671F" w:rsidRPr="00DE0415">
        <w:rPr>
          <w:lang w:val="en-US"/>
        </w:rPr>
        <w:t xml:space="preserve">explique : </w:t>
      </w:r>
    </w:p>
    <w:p w14:paraId="607D13F8" w14:textId="77777777" w:rsidR="009907B7" w:rsidRPr="00DE0415" w:rsidRDefault="00226EF5" w:rsidP="009907B7">
      <w:pPr>
        <w:pStyle w:val="Citation"/>
        <w:rPr>
          <w:color w:val="auto"/>
        </w:rPr>
      </w:pPr>
      <w:r w:rsidRPr="00DE0415">
        <w:rPr>
          <w:color w:val="auto"/>
        </w:rPr>
        <w:t xml:space="preserve">La Ville admet souhaiter procéder, dès que possible une fois l’ordonnance provisoire actuellement en vigueur échue, au déplacement des campements établis à proximité ou sur les lieux des deux sites concernés. En ce sens, il y a un événement perturbateur imminent et le débat n’est pas hypothétique, certes. </w:t>
      </w:r>
    </w:p>
    <w:p w14:paraId="39740755" w14:textId="77777777" w:rsidR="0093536B" w:rsidRPr="00F23C83" w:rsidRDefault="00226EF5" w:rsidP="0093536B">
      <w:pPr>
        <w:pStyle w:val="Paragrsimple"/>
      </w:pPr>
      <w:r w:rsidRPr="00F23C83">
        <w:t xml:space="preserve">Dans ces circonstances, cela suffit pour satisfaire à l’exigence d’urgence. </w:t>
      </w:r>
    </w:p>
    <w:p w14:paraId="334A137C" w14:textId="77777777" w:rsidR="00561431" w:rsidRPr="00DE0415" w:rsidRDefault="00226EF5" w:rsidP="00561431">
      <w:pPr>
        <w:pStyle w:val="Titre3"/>
        <w:rPr>
          <w:lang w:val="en-US"/>
        </w:rPr>
      </w:pPr>
      <w:r w:rsidRPr="00DE0415">
        <w:rPr>
          <w:lang w:val="en-US"/>
        </w:rPr>
        <w:t xml:space="preserve">Conclusion </w:t>
      </w:r>
      <w:r w:rsidR="00130F7A" w:rsidRPr="00DE0415">
        <w:rPr>
          <w:lang w:val="en-US"/>
        </w:rPr>
        <w:t>sur l’ordonnance de sauvegarde</w:t>
      </w:r>
    </w:p>
    <w:p w14:paraId="3BDA3A17" w14:textId="77777777" w:rsidR="00C450A6" w:rsidRPr="00DE0415" w:rsidRDefault="00226EF5" w:rsidP="00940E01">
      <w:pPr>
        <w:pStyle w:val="Paragrsimple"/>
        <w:rPr>
          <w:lang w:val="en-US"/>
        </w:rPr>
      </w:pPr>
      <w:r w:rsidRPr="00F23C83">
        <w:t xml:space="preserve">En somme, les </w:t>
      </w:r>
      <w:r w:rsidR="0093536B" w:rsidRPr="00F23C83">
        <w:t xml:space="preserve">résidents du campement, comme toute personne, ont le </w:t>
      </w:r>
      <w:r w:rsidRPr="00F23C83">
        <w:t>droit d’être en sécurité et à l’abri de toute intervention de l’État qui mettrait leur sécurité en péril</w:t>
      </w:r>
      <w:r w:rsidR="0093536B" w:rsidRPr="00F23C83">
        <w:t>, sauf conformément aux principes de justice fondamentale</w:t>
      </w:r>
      <w:r w:rsidRPr="00F23C83">
        <w:t xml:space="preserve">. </w:t>
      </w:r>
      <w:r w:rsidR="0093536B" w:rsidRPr="00F23C83">
        <w:t>Cela n’implique pas un droit</w:t>
      </w:r>
      <w:r w:rsidR="00F41227" w:rsidRPr="00F23C83">
        <w:t xml:space="preserve"> autonome </w:t>
      </w:r>
      <w:r w:rsidRPr="00F23C83">
        <w:t xml:space="preserve">de </w:t>
      </w:r>
      <w:r w:rsidR="0093536B" w:rsidRPr="00F23C83">
        <w:t xml:space="preserve">s’approprier n’importe quelle propriété de leur choix pour </w:t>
      </w:r>
      <w:r w:rsidRPr="00F23C83">
        <w:t xml:space="preserve">aussi longtemps qu’ils </w:t>
      </w:r>
      <w:r w:rsidR="00213441" w:rsidRPr="00F23C83">
        <w:t>le souhaitent</w:t>
      </w:r>
      <w:r w:rsidRPr="00F23C83">
        <w:t xml:space="preserve">. </w:t>
      </w:r>
      <w:r w:rsidRPr="00DE0415">
        <w:rPr>
          <w:lang w:val="en-US"/>
        </w:rPr>
        <w:t xml:space="preserve">Mais un être humain ne peut exister nulle part. </w:t>
      </w:r>
    </w:p>
    <w:p w14:paraId="3DF3471E" w14:textId="77777777" w:rsidR="00213441" w:rsidRPr="00F23C83" w:rsidRDefault="00226EF5" w:rsidP="00213441">
      <w:pPr>
        <w:pStyle w:val="Paragrsimple"/>
      </w:pPr>
      <w:r w:rsidRPr="00F23C83">
        <w:t xml:space="preserve">En l’absence d’une solution de rechange garantissant la sécurité et la dignité des résidents, la Ville ne peut les forcer à partir tant que l’affaire n’aura pas été jugée sur le fond. </w:t>
      </w:r>
    </w:p>
    <w:p w14:paraId="38FC1DAB" w14:textId="77777777" w:rsidR="00696F61" w:rsidRPr="00F23C83" w:rsidRDefault="00226EF5" w:rsidP="0057542B">
      <w:pPr>
        <w:pStyle w:val="Paragrsimple"/>
        <w:rPr>
          <w:rFonts w:ascii="Aptos" w:hAnsi="Aptos"/>
          <w:lang w:eastAsia="fr-CA"/>
        </w:rPr>
      </w:pPr>
      <w:r w:rsidRPr="00F23C83">
        <w:t>D’ici l’audience sur le fond</w:t>
      </w:r>
      <w:r w:rsidR="009573FD" w:rsidRPr="00F23C83">
        <w:t xml:space="preserve">, </w:t>
      </w:r>
      <w:r w:rsidR="00C450A6" w:rsidRPr="00F23C83">
        <w:t xml:space="preserve">rien </w:t>
      </w:r>
      <w:r w:rsidR="009573FD" w:rsidRPr="00F23C83">
        <w:t xml:space="preserve">n’empêche </w:t>
      </w:r>
      <w:r w:rsidR="00C450A6" w:rsidRPr="00F23C83">
        <w:t xml:space="preserve">les parties de trouver une </w:t>
      </w:r>
      <w:r w:rsidRPr="00F23C83">
        <w:t xml:space="preserve">solution qui </w:t>
      </w:r>
      <w:r w:rsidR="00F41227" w:rsidRPr="00F23C83">
        <w:t xml:space="preserve">respecte </w:t>
      </w:r>
      <w:r w:rsidR="00130F7A" w:rsidRPr="00F23C83">
        <w:t xml:space="preserve">leurs </w:t>
      </w:r>
      <w:r w:rsidR="00F41227" w:rsidRPr="00F23C83">
        <w:t xml:space="preserve">droits </w:t>
      </w:r>
      <w:r w:rsidR="00130F7A" w:rsidRPr="00F23C83">
        <w:t xml:space="preserve">et leurs intérêts </w:t>
      </w:r>
      <w:r w:rsidR="00F41227" w:rsidRPr="00F23C83">
        <w:t xml:space="preserve">et que </w:t>
      </w:r>
      <w:r w:rsidRPr="00F23C83">
        <w:t xml:space="preserve">le tribunal ne pourra </w:t>
      </w:r>
      <w:r w:rsidR="00F41227" w:rsidRPr="00F23C83">
        <w:t xml:space="preserve">probablement </w:t>
      </w:r>
      <w:r w:rsidRPr="00F23C83">
        <w:t xml:space="preserve">jamais offrir. Peu importe les bonnes intentions des juges, les tribunaux ne peuvent pas construire </w:t>
      </w:r>
      <w:r w:rsidR="00F41227" w:rsidRPr="00F23C83">
        <w:t xml:space="preserve">de logements </w:t>
      </w:r>
      <w:r w:rsidRPr="00F23C83">
        <w:t>et ils ne peuvent pas prendre en charge les personnes marginalisées. Même lorsqu’ils élaborent des mesures de redressement en vertu de l’article 24 de la Charte, les tribunaux doivent être guidés par le rôle institutionnel de la magistrature et le respect de la séparation des pouvoirs</w:t>
      </w:r>
      <w:r>
        <w:rPr>
          <w:rStyle w:val="Appelnotedebasdep"/>
          <w:lang w:val="en-US"/>
        </w:rPr>
        <w:footnoteReference w:id="45"/>
      </w:r>
      <w:r w:rsidR="00F23C83">
        <w:t>.</w:t>
      </w:r>
      <w:r w:rsidRPr="00F23C83">
        <w:t xml:space="preserve"> </w:t>
      </w:r>
    </w:p>
    <w:p w14:paraId="3B0B05CF" w14:textId="77777777" w:rsidR="0056671F" w:rsidRPr="00F23C83" w:rsidRDefault="00226EF5" w:rsidP="0056671F">
      <w:pPr>
        <w:pStyle w:val="Paragrsimple"/>
      </w:pPr>
      <w:r w:rsidRPr="00F23C83">
        <w:t xml:space="preserve">Enfin, rien dans les présents motifs ne doit être interprété comme suggérant que la Ville a agi de mauvaise foi dans ses relations avec les résidents du campement ou que le Protocole </w:t>
      </w:r>
      <w:r w:rsidR="00130F7A" w:rsidRPr="00F23C83">
        <w:t xml:space="preserve">de gestion des campements récemment adopté par la Ville </w:t>
      </w:r>
      <w:r w:rsidRPr="00F23C83">
        <w:t xml:space="preserve">est inadéquat. </w:t>
      </w:r>
      <w:r w:rsidRPr="00F23C83">
        <w:lastRenderedPageBreak/>
        <w:t xml:space="preserve">Le résultat </w:t>
      </w:r>
      <w:r w:rsidR="00130F7A" w:rsidRPr="00F23C83">
        <w:t xml:space="preserve">de la présente affaire </w:t>
      </w:r>
      <w:r w:rsidRPr="00F23C83">
        <w:t xml:space="preserve">découle des éléments de preuve contestés et de l’importance des droits en jeu. </w:t>
      </w:r>
    </w:p>
    <w:p w14:paraId="30EAA420" w14:textId="77777777" w:rsidR="001D3DB4" w:rsidRPr="00F23C83" w:rsidRDefault="00226EF5" w:rsidP="009907B7">
      <w:pPr>
        <w:pStyle w:val="Titre3"/>
      </w:pPr>
      <w:r w:rsidRPr="00F23C83">
        <w:t>Il convient de protéger l’anonymat des résidents du campement</w:t>
      </w:r>
    </w:p>
    <w:p w14:paraId="34A735DE" w14:textId="77777777" w:rsidR="001D3DB4" w:rsidRPr="00F23C83" w:rsidRDefault="00226EF5" w:rsidP="00696F61">
      <w:pPr>
        <w:pStyle w:val="Paragrsimple"/>
      </w:pPr>
      <w:r w:rsidRPr="00F23C83">
        <w:t xml:space="preserve">Une </w:t>
      </w:r>
      <w:r w:rsidR="00DF1186" w:rsidRPr="00F23C83">
        <w:t xml:space="preserve">autre </w:t>
      </w:r>
      <w:r w:rsidRPr="00F23C83">
        <w:t xml:space="preserve">question doit être abordée. La Clinique demande que les noms des résidents qui ont signé des déclarations sous serment à l’appui de la demande soient protégés par une ordonnance d’anonymat. </w:t>
      </w:r>
    </w:p>
    <w:p w14:paraId="0DCA621D" w14:textId="77777777" w:rsidR="001D3DB4" w:rsidRPr="00F23C83" w:rsidRDefault="00226EF5" w:rsidP="00696F61">
      <w:pPr>
        <w:pStyle w:val="Paragrsimple"/>
      </w:pPr>
      <w:r w:rsidRPr="00F23C83">
        <w:t xml:space="preserve">L'article 12 du </w:t>
      </w:r>
      <w:r w:rsidRPr="00F23C83">
        <w:rPr>
          <w:i/>
          <w:iCs/>
        </w:rPr>
        <w:t xml:space="preserve">Code de procédure civile </w:t>
      </w:r>
      <w:r w:rsidRPr="00F23C83">
        <w:t xml:space="preserve">confère au tribunal le pouvoir de protéger les renseignements figurant au dossier judiciaire s'il le juge nécessaire pour préserver la dignité des personnes concernées par une requête. </w:t>
      </w:r>
    </w:p>
    <w:p w14:paraId="2822AB8F" w14:textId="77777777" w:rsidR="0057542B" w:rsidRPr="00F23C83" w:rsidRDefault="00226EF5" w:rsidP="0057542B">
      <w:pPr>
        <w:pStyle w:val="Paragrsimple"/>
      </w:pPr>
      <w:r w:rsidRPr="00F23C83">
        <w:t>Bien que je ne souhaite pas laisser entendre qu’une personne en situation d’itinérance devrait avoir honte de sa situation</w:t>
      </w:r>
      <w:r w:rsidR="00DF1186" w:rsidRPr="00F23C83">
        <w:t>, qui est rarement, voire jamais, le fruit de son choix</w:t>
      </w:r>
      <w:r w:rsidRPr="00F23C83">
        <w:t xml:space="preserve">, je reconnais qu’il existe une stigmatisation sociale liée à l’itinérance. De plus, plusieurs des déclarations sous serment traitent de </w:t>
      </w:r>
      <w:r w:rsidR="00DF1186" w:rsidRPr="00F23C83">
        <w:t xml:space="preserve">questions ou </w:t>
      </w:r>
      <w:r w:rsidRPr="00F23C83">
        <w:t>d’expériences profondément personnelles. Compte tenu du contenu des déclarations sous serment</w:t>
      </w:r>
      <w:r w:rsidR="00AF5E83" w:rsidRPr="00F23C83">
        <w:t xml:space="preserve">, </w:t>
      </w:r>
      <w:r w:rsidRPr="00F23C83">
        <w:t xml:space="preserve">je reconnais qu’une ordonnance est appropriée pour protéger la dignité des résidents.  </w:t>
      </w:r>
    </w:p>
    <w:p w14:paraId="551C4931" w14:textId="77777777" w:rsidR="0057542B" w:rsidRPr="00F23C83" w:rsidRDefault="00226EF5" w:rsidP="0057542B">
      <w:pPr>
        <w:pStyle w:val="Paragrsimple"/>
      </w:pPr>
      <w:r w:rsidRPr="00F23C83">
        <w:t xml:space="preserve">Dans la mesure où le refus d’une telle ordonnance découragerait la participation </w:t>
      </w:r>
      <w:r w:rsidR="00DF1186" w:rsidRPr="00F23C83">
        <w:t xml:space="preserve">des résidents </w:t>
      </w:r>
      <w:r w:rsidRPr="00F23C83">
        <w:t>à l’affaire, il est dans l’intérêt public que l’ordonnance soit accordée. De l’avis</w:t>
      </w:r>
      <w:r w:rsidR="002B272E" w:rsidRPr="00F23C83">
        <w:t xml:space="preserve"> de la Cour</w:t>
      </w:r>
      <w:r w:rsidRPr="00F23C83">
        <w:t xml:space="preserve">, l’intérêt public à protéger l’anonymat l’emporte sur les avantages de la publication des noms </w:t>
      </w:r>
      <w:r w:rsidR="00D5419C" w:rsidRPr="00F23C83">
        <w:t>des résidents du campement</w:t>
      </w:r>
      <w:r>
        <w:rPr>
          <w:rStyle w:val="Appelnotedebasdep"/>
          <w:lang w:val="en-US"/>
        </w:rPr>
        <w:footnoteReference w:id="46"/>
      </w:r>
      <w:r w:rsidR="00F23C83">
        <w:t>.</w:t>
      </w:r>
      <w:r w:rsidRPr="00F23C83">
        <w:t xml:space="preserve"> </w:t>
      </w:r>
    </w:p>
    <w:p w14:paraId="3930B824" w14:textId="77777777" w:rsidR="00CF51ED" w:rsidRPr="00F23C83" w:rsidRDefault="00226EF5" w:rsidP="008A5221">
      <w:pPr>
        <w:pStyle w:val="Titre1"/>
      </w:pPr>
      <w:bookmarkStart w:id="3" w:name="_Toc56788872"/>
      <w:r w:rsidRPr="00F23C83">
        <w:t xml:space="preserve">POUR CES RAISONS, </w:t>
      </w:r>
      <w:r w:rsidR="00F23C83">
        <w:t>LE TRIBUNAL</w:t>
      </w:r>
      <w:r w:rsidRPr="00F23C83">
        <w:t xml:space="preserve"> </w:t>
      </w:r>
      <w:r w:rsidR="00772542" w:rsidRPr="00F23C83">
        <w:t>:</w:t>
      </w:r>
      <w:bookmarkEnd w:id="1"/>
      <w:bookmarkEnd w:id="3"/>
    </w:p>
    <w:p w14:paraId="1D1500AA" w14:textId="77777777" w:rsidR="00D47A26" w:rsidRPr="00F23C83" w:rsidRDefault="00226EF5" w:rsidP="001D3DB4">
      <w:pPr>
        <w:pStyle w:val="Paragrsimple"/>
      </w:pPr>
      <w:r w:rsidRPr="00F23C83">
        <w:rPr>
          <w:b/>
          <w:bCs/>
        </w:rPr>
        <w:t xml:space="preserve">ACCORDE </w:t>
      </w:r>
      <w:r w:rsidRPr="00F23C83">
        <w:t xml:space="preserve">la demande d’ordonnance visant à </w:t>
      </w:r>
      <w:r w:rsidR="00130F7A" w:rsidRPr="00F23C83">
        <w:t xml:space="preserve">permettre à la Clinique de </w:t>
      </w:r>
      <w:r w:rsidRPr="00F23C83">
        <w:t xml:space="preserve">préserver l’anonymat des personnes nommées dans la procédure et qui ont signé des déclarations sous serment </w:t>
      </w:r>
      <w:r w:rsidR="00130F7A" w:rsidRPr="00F23C83">
        <w:t xml:space="preserve">jusqu’à nouvel ordre </w:t>
      </w:r>
      <w:r w:rsidR="00F23C83">
        <w:t>du Tribunal;</w:t>
      </w:r>
      <w:r w:rsidRPr="00F23C83">
        <w:t xml:space="preserve"> </w:t>
      </w:r>
    </w:p>
    <w:p w14:paraId="49C74D74" w14:textId="77777777" w:rsidR="00DF1186" w:rsidRPr="00F23C83" w:rsidRDefault="00226EF5" w:rsidP="004E61AF">
      <w:pPr>
        <w:pStyle w:val="Paragrsimple"/>
      </w:pPr>
      <w:r w:rsidRPr="00F23C83">
        <w:rPr>
          <w:b/>
          <w:bCs/>
        </w:rPr>
        <w:t xml:space="preserve">ACCORDE </w:t>
      </w:r>
      <w:r w:rsidRPr="00F23C83">
        <w:t>la demande d’ordonnance de sauvegarde ;</w:t>
      </w:r>
    </w:p>
    <w:p w14:paraId="7DF330DB" w14:textId="77777777" w:rsidR="00957603" w:rsidRPr="00F23C83" w:rsidRDefault="00226EF5" w:rsidP="00957603">
      <w:pPr>
        <w:pStyle w:val="Paragrsimple"/>
      </w:pPr>
      <w:r w:rsidRPr="00F23C83">
        <w:rPr>
          <w:b/>
          <w:bCs/>
        </w:rPr>
        <w:t xml:space="preserve">INTERDIT </w:t>
      </w:r>
      <w:r w:rsidR="004E61AF" w:rsidRPr="00F23C83">
        <w:t xml:space="preserve">à la défenderesse, la Ville de Montréal, ainsi qu’à tous ses mandataires ou représentants, et à toute personne ou entité ayant connaissance de la présente ordonnance, de prendre toute mesure visant à expulser, démanteler et disposer des biens des membres de la communauté vivant près du parc de patinage (numéro cadastral 2 334 591) et du terrain de basket (numéro cadastral 2 806 718) situés sous le viaduc de Van Horne, jusqu’à ce qu’un jugement sur le fond soit rendu </w:t>
      </w:r>
      <w:r w:rsidRPr="00F23C83">
        <w:t>dans la présente affaire;</w:t>
      </w:r>
    </w:p>
    <w:p w14:paraId="75A639F7" w14:textId="77777777" w:rsidR="006943BB" w:rsidRDefault="00226EF5">
      <w:pPr>
        <w:rPr>
          <w:b/>
          <w:bCs/>
          <w:kern w:val="28"/>
        </w:rPr>
      </w:pPr>
      <w:r>
        <w:rPr>
          <w:b/>
          <w:bCs/>
        </w:rPr>
        <w:br w:type="page"/>
      </w:r>
    </w:p>
    <w:p w14:paraId="050AB50A" w14:textId="77777777" w:rsidR="00D713AF" w:rsidRPr="00F23C83" w:rsidRDefault="00226EF5" w:rsidP="00957603">
      <w:pPr>
        <w:pStyle w:val="Paragrsimple"/>
      </w:pPr>
      <w:r w:rsidRPr="00F23C83">
        <w:rPr>
          <w:b/>
          <w:bCs/>
        </w:rPr>
        <w:lastRenderedPageBreak/>
        <w:t xml:space="preserve">LE TOUT </w:t>
      </w:r>
      <w:r w:rsidRPr="00F23C83">
        <w:t>avec dépens à suivre</w:t>
      </w:r>
      <w:r w:rsidR="0057140C" w:rsidRPr="00F23C83">
        <w:t>.</w:t>
      </w:r>
    </w:p>
    <w:tbl>
      <w:tblPr>
        <w:tblW w:w="9505" w:type="dxa"/>
        <w:tblLayout w:type="fixed"/>
        <w:tblCellMar>
          <w:left w:w="70" w:type="dxa"/>
          <w:right w:w="70" w:type="dxa"/>
        </w:tblCellMar>
        <w:tblLook w:val="0000" w:firstRow="0" w:lastRow="0" w:firstColumn="0" w:lastColumn="0" w:noHBand="0" w:noVBand="0"/>
      </w:tblPr>
      <w:tblGrid>
        <w:gridCol w:w="2197"/>
        <w:gridCol w:w="2670"/>
        <w:gridCol w:w="4638"/>
      </w:tblGrid>
      <w:tr w:rsidR="00FC29A9" w14:paraId="367E03E9" w14:textId="77777777" w:rsidTr="00BA153A">
        <w:trPr>
          <w:trHeight w:val="576"/>
        </w:trPr>
        <w:tc>
          <w:tcPr>
            <w:tcW w:w="9505" w:type="dxa"/>
            <w:gridSpan w:val="3"/>
          </w:tcPr>
          <w:p w14:paraId="06D0014D" w14:textId="77777777" w:rsidR="00121A72" w:rsidRDefault="00121A72" w:rsidP="00D26929">
            <w:pPr>
              <w:keepNext/>
              <w:keepLines/>
            </w:pPr>
          </w:p>
          <w:p w14:paraId="74CE9114" w14:textId="77777777" w:rsidR="006943BB" w:rsidRDefault="006943BB" w:rsidP="00D26929">
            <w:pPr>
              <w:keepNext/>
              <w:keepLines/>
            </w:pPr>
          </w:p>
          <w:p w14:paraId="33A0AF9E" w14:textId="77777777" w:rsidR="006943BB" w:rsidRPr="00F23C83" w:rsidRDefault="006943BB" w:rsidP="00D26929">
            <w:pPr>
              <w:keepNext/>
              <w:keepLines/>
            </w:pPr>
          </w:p>
        </w:tc>
      </w:tr>
      <w:tr w:rsidR="00FC29A9" w14:paraId="10950A5F" w14:textId="77777777" w:rsidTr="00BA153A">
        <w:tblPrEx>
          <w:tblCellMar>
            <w:left w:w="0" w:type="dxa"/>
            <w:right w:w="0" w:type="dxa"/>
          </w:tblCellMar>
        </w:tblPrEx>
        <w:trPr>
          <w:cantSplit/>
        </w:trPr>
        <w:tc>
          <w:tcPr>
            <w:tcW w:w="4867" w:type="dxa"/>
            <w:gridSpan w:val="2"/>
          </w:tcPr>
          <w:p w14:paraId="1B68CE60" w14:textId="77777777" w:rsidR="00121A72" w:rsidRPr="00F23C83" w:rsidRDefault="00121A72" w:rsidP="00D26929"/>
        </w:tc>
        <w:tc>
          <w:tcPr>
            <w:tcW w:w="4638" w:type="dxa"/>
          </w:tcPr>
          <w:p w14:paraId="1EC1EC5A" w14:textId="0D74D4AD" w:rsidR="00121A72" w:rsidRPr="00136AE9" w:rsidRDefault="00226EF5" w:rsidP="00136AE9">
            <w:pPr>
              <w:pStyle w:val="zSoquijdatSignature3Juge"/>
              <w:rPr>
                <w:b/>
                <w:caps/>
              </w:rPr>
            </w:pPr>
            <w:r w:rsidRPr="00DE0415">
              <w:rPr>
                <w:lang w:val="en-CA"/>
              </w:rPr>
              <w:t>__________________________________</w:t>
            </w:r>
            <w:r w:rsidR="00136AE9" w:rsidRPr="00136AE9">
              <w:rPr>
                <w:bCs/>
                <w:caps/>
              </w:rPr>
              <w:t>ALEXANDER PLESS, J.C.S.</w:t>
            </w:r>
          </w:p>
        </w:tc>
      </w:tr>
      <w:tr w:rsidR="00FC29A9" w14:paraId="76CB295B" w14:textId="77777777" w:rsidTr="00BA153A">
        <w:tc>
          <w:tcPr>
            <w:tcW w:w="9505" w:type="dxa"/>
            <w:gridSpan w:val="3"/>
          </w:tcPr>
          <w:p w14:paraId="40BB918A" w14:textId="77777777" w:rsidR="00121A72" w:rsidRPr="00DE0415" w:rsidRDefault="00121A72" w:rsidP="00D26929">
            <w:pPr>
              <w:rPr>
                <w:lang w:val="en-CA"/>
              </w:rPr>
            </w:pPr>
          </w:p>
        </w:tc>
      </w:tr>
      <w:tr w:rsidR="00FC29A9" w14:paraId="3FA1DC66" w14:textId="77777777" w:rsidTr="00BA153A">
        <w:trPr>
          <w:cantSplit/>
        </w:trPr>
        <w:tc>
          <w:tcPr>
            <w:tcW w:w="9505" w:type="dxa"/>
            <w:gridSpan w:val="3"/>
          </w:tcPr>
          <w:p w14:paraId="6AFE7A2C" w14:textId="77777777" w:rsidR="00121A72" w:rsidRPr="00DE0415" w:rsidRDefault="00226EF5" w:rsidP="00D26929">
            <w:pPr>
              <w:pStyle w:val="zSoquijdatNomProcureurDem"/>
            </w:pPr>
            <w:r w:rsidRPr="00DE0415">
              <w:t xml:space="preserve">Me </w:t>
            </w:r>
            <w:r w:rsidR="00EB30CC">
              <w:t xml:space="preserve">Hélèna </w:t>
            </w:r>
            <w:r w:rsidR="006B7AA9" w:rsidRPr="00DE0415">
              <w:t>Lamed</w:t>
            </w:r>
          </w:p>
        </w:tc>
      </w:tr>
      <w:tr w:rsidR="00FC29A9" w14:paraId="3D11A08D" w14:textId="77777777" w:rsidTr="00BA153A">
        <w:trPr>
          <w:cantSplit/>
        </w:trPr>
        <w:tc>
          <w:tcPr>
            <w:tcW w:w="9505" w:type="dxa"/>
            <w:gridSpan w:val="3"/>
          </w:tcPr>
          <w:p w14:paraId="3F911CFB" w14:textId="77777777" w:rsidR="00121A72" w:rsidRPr="00DE0415" w:rsidRDefault="00226EF5" w:rsidP="00D26929">
            <w:pPr>
              <w:pStyle w:val="zSoquijlblProcureurDem"/>
            </w:pPr>
            <w:r>
              <w:t xml:space="preserve">Avocate </w:t>
            </w:r>
            <w:r w:rsidR="00EB30CC">
              <w:t xml:space="preserve">de la </w:t>
            </w:r>
            <w:r w:rsidR="00F23C83">
              <w:t>demanderesse</w:t>
            </w:r>
          </w:p>
        </w:tc>
      </w:tr>
      <w:tr w:rsidR="00FC29A9" w14:paraId="566F5431" w14:textId="77777777" w:rsidTr="00BA153A">
        <w:trPr>
          <w:cantSplit/>
        </w:trPr>
        <w:tc>
          <w:tcPr>
            <w:tcW w:w="9505" w:type="dxa"/>
            <w:gridSpan w:val="3"/>
          </w:tcPr>
          <w:p w14:paraId="6849131E" w14:textId="77777777" w:rsidR="00121A72" w:rsidRPr="00DE0415" w:rsidRDefault="00121A72" w:rsidP="00D26929"/>
        </w:tc>
      </w:tr>
      <w:tr w:rsidR="00FC29A9" w14:paraId="2D560D6C" w14:textId="77777777" w:rsidTr="00BA153A">
        <w:trPr>
          <w:cantSplit/>
        </w:trPr>
        <w:tc>
          <w:tcPr>
            <w:tcW w:w="9505" w:type="dxa"/>
            <w:gridSpan w:val="3"/>
          </w:tcPr>
          <w:p w14:paraId="07FDC408" w14:textId="77777777" w:rsidR="00121A72" w:rsidRPr="00DE0415" w:rsidRDefault="00226EF5" w:rsidP="00D26929">
            <w:pPr>
              <w:pStyle w:val="zSoquijdatNomProcureurDef"/>
            </w:pPr>
            <w:r w:rsidRPr="00DE0415">
              <w:t xml:space="preserve">Me </w:t>
            </w:r>
            <w:r w:rsidR="006B7AA9" w:rsidRPr="00DE0415">
              <w:t>Alexandre Paul-Hus</w:t>
            </w:r>
          </w:p>
        </w:tc>
      </w:tr>
      <w:tr w:rsidR="00FC29A9" w14:paraId="13720EBD" w14:textId="77777777" w:rsidTr="00BA153A">
        <w:trPr>
          <w:cantSplit/>
        </w:trPr>
        <w:tc>
          <w:tcPr>
            <w:tcW w:w="9505" w:type="dxa"/>
            <w:gridSpan w:val="3"/>
          </w:tcPr>
          <w:p w14:paraId="594DA9A5" w14:textId="77777777" w:rsidR="00121A72" w:rsidRPr="00DE0415" w:rsidRDefault="00226EF5" w:rsidP="00D26929">
            <w:pPr>
              <w:pStyle w:val="zSoquijdatCabinetProcureurDef"/>
            </w:pPr>
            <w:r>
              <w:t>Ville de Montréal</w:t>
            </w:r>
          </w:p>
        </w:tc>
      </w:tr>
      <w:tr w:rsidR="00FC29A9" w14:paraId="7ACBBBDE" w14:textId="77777777" w:rsidTr="00BA153A">
        <w:trPr>
          <w:cantSplit/>
        </w:trPr>
        <w:tc>
          <w:tcPr>
            <w:tcW w:w="9505" w:type="dxa"/>
            <w:gridSpan w:val="3"/>
          </w:tcPr>
          <w:p w14:paraId="19AC1C70" w14:textId="77777777" w:rsidR="00121A72" w:rsidRPr="00DE0415" w:rsidRDefault="00226EF5" w:rsidP="00D26929">
            <w:pPr>
              <w:pStyle w:val="zSoquijlblProcureurDef"/>
            </w:pPr>
            <w:r>
              <w:t xml:space="preserve">Avocat </w:t>
            </w:r>
            <w:r w:rsidR="00EB30CC">
              <w:t>de la défenderesse</w:t>
            </w:r>
          </w:p>
        </w:tc>
      </w:tr>
      <w:tr w:rsidR="00FC29A9" w14:paraId="2E8F612C" w14:textId="77777777" w:rsidTr="00BA153A">
        <w:tc>
          <w:tcPr>
            <w:tcW w:w="9505" w:type="dxa"/>
            <w:gridSpan w:val="3"/>
          </w:tcPr>
          <w:p w14:paraId="74F322EA" w14:textId="77777777" w:rsidR="00121A72" w:rsidRPr="00DE0415" w:rsidRDefault="00121A72" w:rsidP="00D26929"/>
        </w:tc>
      </w:tr>
      <w:tr w:rsidR="00FC29A9" w14:paraId="6492F25F" w14:textId="77777777" w:rsidTr="00BA153A">
        <w:tc>
          <w:tcPr>
            <w:tcW w:w="2197" w:type="dxa"/>
          </w:tcPr>
          <w:p w14:paraId="4D8F99B1" w14:textId="77777777" w:rsidR="00121A72" w:rsidRPr="00DE0415" w:rsidRDefault="00226EF5" w:rsidP="00D26929">
            <w:pPr>
              <w:pStyle w:val="zSoquijlblDateAudience"/>
            </w:pPr>
            <w:r w:rsidRPr="00EB30CC">
              <w:t>Date de l’audience</w:t>
            </w:r>
            <w:r w:rsidR="00F23C83">
              <w:t> </w:t>
            </w:r>
          </w:p>
        </w:tc>
        <w:tc>
          <w:tcPr>
            <w:tcW w:w="7308" w:type="dxa"/>
            <w:gridSpan w:val="2"/>
          </w:tcPr>
          <w:p w14:paraId="19080ACC" w14:textId="77777777" w:rsidR="00121A72" w:rsidRPr="00DE0415" w:rsidRDefault="00226EF5" w:rsidP="00D26929">
            <w:pPr>
              <w:pStyle w:val="zSoquijdatDateAudience"/>
            </w:pPr>
            <w:r>
              <w:t xml:space="preserve">: </w:t>
            </w:r>
            <w:r w:rsidR="00E62299" w:rsidRPr="00DE0415">
              <w:t>28 mai 2026</w:t>
            </w:r>
          </w:p>
        </w:tc>
      </w:tr>
    </w:tbl>
    <w:p w14:paraId="7469248A" w14:textId="77777777" w:rsidR="00BA153A" w:rsidRPr="00DE0415" w:rsidRDefault="00BA153A" w:rsidP="00D26929"/>
    <w:p w14:paraId="00ABAFE8" w14:textId="77777777" w:rsidR="00BA153A" w:rsidRPr="00DE0415" w:rsidRDefault="00BA153A" w:rsidP="0039453E"/>
    <w:p w14:paraId="55880ECD" w14:textId="77777777" w:rsidR="00121A72" w:rsidRPr="00DE0415" w:rsidRDefault="00121A72" w:rsidP="00D26929"/>
    <w:sectPr w:rsidR="00121A72" w:rsidRPr="00DE041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2" w:h="15842" w:code="1"/>
      <w:pgMar w:top="1440" w:right="1008" w:bottom="1440" w:left="1872" w:header="1440" w:footer="7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6C85F" w14:textId="77777777" w:rsidR="0028092F" w:rsidRDefault="00226EF5">
      <w:r>
        <w:separator/>
      </w:r>
    </w:p>
  </w:endnote>
  <w:endnote w:type="continuationSeparator" w:id="0">
    <w:p w14:paraId="06B4377A" w14:textId="77777777" w:rsidR="0028092F" w:rsidRDefault="0022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22AA9" w14:textId="77777777" w:rsidR="00121A72" w:rsidRDefault="00226EF5">
    <w:pPr>
      <w:framePr w:wrap="around" w:vAnchor="text" w:hAnchor="margin" w:xAlign="right" w:y="1"/>
    </w:pPr>
    <w:r>
      <w:fldChar w:fldCharType="begin"/>
    </w:r>
    <w:r>
      <w:instrText xml:space="preserve">PAGE  </w:instrText>
    </w:r>
    <w:r>
      <w:fldChar w:fldCharType="end"/>
    </w:r>
  </w:p>
  <w:p w14:paraId="3A4B86E9" w14:textId="77777777" w:rsidR="00121A72" w:rsidRDefault="00121A7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FC44E" w14:textId="77777777" w:rsidR="00EB30CC" w:rsidRDefault="00EB30C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B939" w14:textId="77777777" w:rsidR="00EB30CC" w:rsidRDefault="00EB30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DC47" w14:textId="77777777" w:rsidR="004B5A9D" w:rsidRDefault="00226EF5">
      <w:r>
        <w:separator/>
      </w:r>
    </w:p>
  </w:footnote>
  <w:footnote w:type="continuationSeparator" w:id="0">
    <w:p w14:paraId="2BDFA113" w14:textId="77777777" w:rsidR="004B5A9D" w:rsidRDefault="00226EF5">
      <w:r>
        <w:continuationSeparator/>
      </w:r>
    </w:p>
  </w:footnote>
  <w:footnote w:id="1">
    <w:p w14:paraId="516CF12E" w14:textId="77777777" w:rsidR="00D82F8D"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307F1B" w:rsidRPr="00F23C83">
        <w:rPr>
          <w:rFonts w:cs="Arial"/>
        </w:rPr>
        <w:tab/>
      </w:r>
      <w:r w:rsidRPr="00F23C83">
        <w:rPr>
          <w:rFonts w:cs="Arial"/>
        </w:rPr>
        <w:t xml:space="preserve">La demande de mesure provisoire est présentée en urgence, conformément à l’article 510 du </w:t>
      </w:r>
      <w:r w:rsidRPr="00F23C83">
        <w:rPr>
          <w:rFonts w:cs="Arial"/>
          <w:i/>
          <w:iCs/>
        </w:rPr>
        <w:t>Code de procédure civile</w:t>
      </w:r>
      <w:r w:rsidRPr="00F23C83">
        <w:rPr>
          <w:rFonts w:cs="Arial"/>
        </w:rPr>
        <w:t xml:space="preserve">. Toutefois, à la suite d’une première ordonnance provisoire rendue d’un commun accord par l’honorable juge Audrey Boctor, et étant donné que les parties ont bénéficié d’une audience d’une journée entière </w:t>
      </w:r>
      <w:r w:rsidR="00E64433" w:rsidRPr="00F23C83">
        <w:rPr>
          <w:rFonts w:cs="Arial"/>
        </w:rPr>
        <w:t xml:space="preserve">et ont eu la possibilité de produire </w:t>
      </w:r>
      <w:r w:rsidRPr="00F23C83">
        <w:rPr>
          <w:rFonts w:cs="Arial"/>
        </w:rPr>
        <w:t xml:space="preserve">des éléments de preuve à l’appui de leurs positions, celles-ci ont convenu que la mesure provisoire resterait en vigueur jusqu’au jugement sur le fond. </w:t>
      </w:r>
    </w:p>
  </w:footnote>
  <w:footnote w:id="2">
    <w:p w14:paraId="5B6D4C99" w14:textId="77777777" w:rsidR="00D853BA"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191CEB" w:rsidRPr="00F23C83">
        <w:rPr>
          <w:rFonts w:cs="Arial"/>
        </w:rPr>
        <w:tab/>
      </w:r>
      <w:r w:rsidRPr="00F23C83">
        <w:rPr>
          <w:rFonts w:cs="Arial"/>
        </w:rPr>
        <w:t xml:space="preserve">La qualité pour agir </w:t>
      </w:r>
      <w:r w:rsidR="003F53CF" w:rsidRPr="00F23C83">
        <w:rPr>
          <w:rFonts w:cs="Arial"/>
        </w:rPr>
        <w:t xml:space="preserve">de la Clinique </w:t>
      </w:r>
      <w:r w:rsidRPr="00F23C83">
        <w:rPr>
          <w:rFonts w:cs="Arial"/>
        </w:rPr>
        <w:t>dans l’intérêt public n’a pas été contestée à ce stade de l’audience. De plus, la Clinique a indiqué que depuis le dépôt de la requête</w:t>
      </w:r>
      <w:r w:rsidR="003F53CF" w:rsidRPr="00F23C83">
        <w:rPr>
          <w:rFonts w:cs="Arial"/>
        </w:rPr>
        <w:t xml:space="preserve">, </w:t>
      </w:r>
      <w:r w:rsidRPr="00F23C83">
        <w:rPr>
          <w:rFonts w:cs="Arial"/>
        </w:rPr>
        <w:t xml:space="preserve">elle avait reçu des mandats des résidents pour agir en leur nom dans cette affaire </w:t>
      </w:r>
      <w:r w:rsidR="00815F9B" w:rsidRPr="00F23C83">
        <w:rPr>
          <w:rFonts w:cs="Arial"/>
        </w:rPr>
        <w:t>(P-8)</w:t>
      </w:r>
      <w:r w:rsidRPr="00F23C83">
        <w:rPr>
          <w:rFonts w:cs="Arial"/>
        </w:rPr>
        <w:t xml:space="preserve">. Quoi qu’il en soit, il apparaît </w:t>
      </w:r>
      <w:r w:rsidR="00F23C83">
        <w:rPr>
          <w:rFonts w:cs="Arial"/>
        </w:rPr>
        <w:t>au Tribunal</w:t>
      </w:r>
      <w:r w:rsidRPr="00F23C83">
        <w:rPr>
          <w:rFonts w:cs="Arial"/>
        </w:rPr>
        <w:t xml:space="preserve"> que, </w:t>
      </w:r>
      <w:r w:rsidR="00815F9B" w:rsidRPr="00F23C83">
        <w:rPr>
          <w:rFonts w:cs="Arial"/>
        </w:rPr>
        <w:t xml:space="preserve">compte tenu de la déclaration sous serment de Donald Tremblay, directeur de la Clinique (P-8), </w:t>
      </w:r>
      <w:r w:rsidRPr="00F23C83">
        <w:rPr>
          <w:rFonts w:cs="Arial"/>
        </w:rPr>
        <w:t xml:space="preserve">les critères énoncés par la Cour </w:t>
      </w:r>
      <w:r w:rsidR="003F53CF" w:rsidRPr="00F23C83">
        <w:rPr>
          <w:rFonts w:cs="Arial"/>
        </w:rPr>
        <w:t xml:space="preserve">suprême </w:t>
      </w:r>
      <w:r w:rsidRPr="00F23C83">
        <w:rPr>
          <w:rFonts w:cs="Arial"/>
        </w:rPr>
        <w:t xml:space="preserve">dans l’affaire </w:t>
      </w:r>
      <w:r w:rsidRPr="00F23C83">
        <w:rPr>
          <w:rFonts w:cs="Arial"/>
          <w:i/>
          <w:iCs/>
        </w:rPr>
        <w:t>Canada (Procureur général) c. Downtown Eastside Sex Workers United Against Violence Society</w:t>
      </w:r>
      <w:r w:rsidRPr="00F23C83">
        <w:rPr>
          <w:rFonts w:cs="Arial"/>
        </w:rPr>
        <w:t xml:space="preserve">, 2012 CSC 45, par. 37 à 52, seraient probablement remplis. </w:t>
      </w:r>
    </w:p>
  </w:footnote>
  <w:footnote w:id="3">
    <w:p w14:paraId="0B207016" w14:textId="77777777" w:rsidR="00E64433" w:rsidRPr="00307F1B" w:rsidRDefault="00226EF5">
      <w:pPr>
        <w:pStyle w:val="Notedebasdepage"/>
        <w:rPr>
          <w:rFonts w:cs="Arial"/>
        </w:rPr>
      </w:pPr>
      <w:r w:rsidRPr="00307F1B">
        <w:rPr>
          <w:rStyle w:val="Appelnotedebasdep"/>
          <w:rFonts w:cs="Arial"/>
        </w:rPr>
        <w:footnoteRef/>
      </w:r>
      <w:r w:rsidRPr="00307F1B">
        <w:rPr>
          <w:rFonts w:cs="Arial"/>
        </w:rPr>
        <w:t xml:space="preserve"> </w:t>
      </w:r>
      <w:r w:rsidR="00191CEB" w:rsidRPr="00307F1B">
        <w:rPr>
          <w:rFonts w:cs="Arial"/>
        </w:rPr>
        <w:tab/>
      </w:r>
      <w:r w:rsidRPr="00307F1B">
        <w:rPr>
          <w:rFonts w:cs="Arial"/>
        </w:rPr>
        <w:t xml:space="preserve">P-2 </w:t>
      </w:r>
      <w:r w:rsidR="00DE0415">
        <w:rPr>
          <w:rFonts w:cs="Arial"/>
        </w:rPr>
        <w:t xml:space="preserve">: </w:t>
      </w:r>
      <w:r w:rsidRPr="00307F1B">
        <w:rPr>
          <w:rFonts w:cs="Arial"/>
        </w:rPr>
        <w:t>Avis d’expulsion</w:t>
      </w:r>
      <w:r w:rsidR="00191CEB" w:rsidRPr="00307F1B">
        <w:rPr>
          <w:rFonts w:cs="Arial"/>
        </w:rPr>
        <w:t>.</w:t>
      </w:r>
    </w:p>
  </w:footnote>
  <w:footnote w:id="4">
    <w:p w14:paraId="7678C20C" w14:textId="77777777" w:rsidR="009907B7" w:rsidRPr="00307F1B" w:rsidRDefault="00226EF5" w:rsidP="009907B7">
      <w:pPr>
        <w:pStyle w:val="Notedebasdepage"/>
        <w:rPr>
          <w:rFonts w:cs="Arial"/>
        </w:rPr>
      </w:pPr>
      <w:r w:rsidRPr="00307F1B">
        <w:rPr>
          <w:rStyle w:val="Appelnotedebasdep"/>
          <w:rFonts w:cs="Arial"/>
        </w:rPr>
        <w:footnoteRef/>
      </w:r>
      <w:r w:rsidRPr="00307F1B">
        <w:rPr>
          <w:rFonts w:cs="Arial"/>
        </w:rPr>
        <w:t xml:space="preserve"> </w:t>
      </w:r>
      <w:r w:rsidR="00191CEB" w:rsidRPr="00307F1B">
        <w:rPr>
          <w:rFonts w:cs="Arial"/>
        </w:rPr>
        <w:tab/>
      </w:r>
      <w:r w:rsidRPr="00307F1B">
        <w:rPr>
          <w:rFonts w:cs="Arial"/>
        </w:rPr>
        <w:t xml:space="preserve">P-5 </w:t>
      </w:r>
      <w:r w:rsidR="00DE0415">
        <w:rPr>
          <w:rFonts w:cs="Arial"/>
        </w:rPr>
        <w:t xml:space="preserve">: </w:t>
      </w:r>
      <w:r w:rsidRPr="00307F1B">
        <w:rPr>
          <w:rFonts w:cs="Arial"/>
        </w:rPr>
        <w:t xml:space="preserve">Ordre du jour de la réunion du conseil municipal, lundi 11 mai 2026. </w:t>
      </w:r>
    </w:p>
  </w:footnote>
  <w:footnote w:id="5">
    <w:p w14:paraId="11B94032" w14:textId="77777777" w:rsidR="009907B7" w:rsidRPr="00307F1B" w:rsidRDefault="00226EF5" w:rsidP="009907B7">
      <w:pPr>
        <w:pStyle w:val="Notedebasdepage"/>
        <w:rPr>
          <w:rFonts w:cs="Arial"/>
        </w:rPr>
      </w:pPr>
      <w:r w:rsidRPr="00307F1B">
        <w:rPr>
          <w:rStyle w:val="Appelnotedebasdep"/>
          <w:rFonts w:cs="Arial"/>
        </w:rPr>
        <w:footnoteRef/>
      </w:r>
      <w:r w:rsidRPr="00307F1B">
        <w:rPr>
          <w:rFonts w:cs="Arial"/>
        </w:rPr>
        <w:t xml:space="preserve"> </w:t>
      </w:r>
      <w:r w:rsidR="00191CEB" w:rsidRPr="00307F1B">
        <w:rPr>
          <w:rFonts w:cs="Arial"/>
        </w:rPr>
        <w:tab/>
      </w:r>
      <w:r w:rsidRPr="00307F1B">
        <w:rPr>
          <w:rFonts w:cs="Arial"/>
        </w:rPr>
        <w:t xml:space="preserve">P-4 </w:t>
      </w:r>
      <w:r w:rsidR="00DE0415">
        <w:rPr>
          <w:rFonts w:cs="Arial"/>
        </w:rPr>
        <w:t xml:space="preserve">: </w:t>
      </w:r>
      <w:r w:rsidRPr="00307F1B">
        <w:rPr>
          <w:rFonts w:cs="Arial"/>
        </w:rPr>
        <w:t>Protocole municipal de gestion des campements</w:t>
      </w:r>
      <w:r w:rsidR="00DE0415">
        <w:rPr>
          <w:rFonts w:cs="Arial"/>
        </w:rPr>
        <w:t>.</w:t>
      </w:r>
    </w:p>
  </w:footnote>
  <w:footnote w:id="6">
    <w:p w14:paraId="0AE07F21" w14:textId="77777777" w:rsidR="009907B7" w:rsidRPr="00307F1B" w:rsidRDefault="00226EF5">
      <w:pPr>
        <w:pStyle w:val="Notedebasdepage"/>
        <w:rPr>
          <w:rFonts w:cs="Arial"/>
        </w:rPr>
      </w:pPr>
      <w:r w:rsidRPr="00307F1B">
        <w:rPr>
          <w:rStyle w:val="Appelnotedebasdep"/>
          <w:rFonts w:cs="Arial"/>
        </w:rPr>
        <w:footnoteRef/>
      </w:r>
      <w:r w:rsidRPr="00307F1B">
        <w:rPr>
          <w:rFonts w:cs="Arial"/>
        </w:rPr>
        <w:t xml:space="preserve"> </w:t>
      </w:r>
      <w:r w:rsidR="00191CEB" w:rsidRPr="00307F1B">
        <w:rPr>
          <w:rFonts w:cs="Arial"/>
        </w:rPr>
        <w:tab/>
      </w:r>
      <w:r w:rsidRPr="00307F1B">
        <w:rPr>
          <w:rFonts w:cs="Arial"/>
        </w:rPr>
        <w:t xml:space="preserve">La traduction est celle de la Cour. Le texte original en français se lit comme suit : </w:t>
      </w:r>
      <w:r w:rsidRPr="00DE0415">
        <w:rPr>
          <w:rFonts w:cs="Arial"/>
          <w:i/>
          <w:iCs/>
        </w:rPr>
        <w:t>La relocalisation d’un campement ne doit être envisagée qu’en dernier recours, et seulement dans les circonstances décrites dans le protocole. Cette mesure exceptionnelle n’est retenue qu’après avoir épuisé l’ensemble des autres avenues, notamment la recherche d’alternatives pérennes, la mobilisation des partenaires concernés et la mise en place de mesures visant la sécurité, la dignité et la participation des personnes vivant en campement. Cette approche reflète l’engagement de la Ville à intervenir de manière mesurée, respectueuse des droits de la personne, et orientée vers des solutions durables, en privilégiant les options permettant d’éviter un déplacement forcé.</w:t>
      </w:r>
    </w:p>
  </w:footnote>
  <w:footnote w:id="7">
    <w:p w14:paraId="6179DAF8" w14:textId="77777777" w:rsidR="009425D6"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191CEB" w:rsidRPr="00F23C83">
        <w:rPr>
          <w:rFonts w:cs="Arial"/>
        </w:rPr>
        <w:tab/>
      </w:r>
      <w:r w:rsidRPr="00F23C83">
        <w:rPr>
          <w:rFonts w:cs="Arial"/>
        </w:rPr>
        <w:t xml:space="preserve">P-23 </w:t>
      </w:r>
      <w:r w:rsidR="00DE0415" w:rsidRPr="00F23C83">
        <w:rPr>
          <w:rFonts w:cs="Arial"/>
        </w:rPr>
        <w:t xml:space="preserve">: </w:t>
      </w:r>
      <w:r w:rsidRPr="00F23C83">
        <w:rPr>
          <w:rFonts w:cs="Arial"/>
        </w:rPr>
        <w:t>Déclaration sous serment d’un résident du campement datée du 26 mai 2026.</w:t>
      </w:r>
    </w:p>
  </w:footnote>
  <w:footnote w:id="8">
    <w:p w14:paraId="1AD24EF6" w14:textId="77777777" w:rsidR="009A7894" w:rsidRPr="00307F1B" w:rsidRDefault="00226EF5" w:rsidP="009A7894">
      <w:pPr>
        <w:pStyle w:val="Notedebasdepage"/>
        <w:rPr>
          <w:rFonts w:cs="Arial"/>
        </w:rPr>
      </w:pPr>
      <w:r w:rsidRPr="00307F1B">
        <w:rPr>
          <w:rStyle w:val="Appelnotedebasdep"/>
          <w:rFonts w:cs="Arial"/>
        </w:rPr>
        <w:footnoteRef/>
      </w:r>
      <w:r w:rsidRPr="00F23C83">
        <w:rPr>
          <w:rFonts w:cs="Arial"/>
        </w:rPr>
        <w:t xml:space="preserve"> </w:t>
      </w:r>
      <w:r w:rsidR="00D22592" w:rsidRPr="00F23C83">
        <w:rPr>
          <w:rFonts w:cs="Arial"/>
        </w:rPr>
        <w:tab/>
        <w:t xml:space="preserve">À l’appui de sa requête, la Clinique a déposé sept (7) déclarations sous serment de résidents du campement ; </w:t>
      </w:r>
      <w:r w:rsidR="003F5316" w:rsidRPr="00F23C83">
        <w:rPr>
          <w:rFonts w:cs="Arial"/>
        </w:rPr>
        <w:t xml:space="preserve">un rapport d’expert de Caroline Leblanc (P-7), une déclaration sous serment de Catherine Lesage, directrice des services cliniques et d’hébergement du Carrefour d’alimentation et de partage St-Barnabé Inc. (P-6) ; </w:t>
      </w:r>
      <w:r w:rsidR="00815F9B" w:rsidRPr="00F23C83">
        <w:rPr>
          <w:rFonts w:cs="Arial"/>
        </w:rPr>
        <w:t xml:space="preserve">une déclaration sous serment de </w:t>
      </w:r>
      <w:r w:rsidR="00815F9B" w:rsidRPr="00F23C83">
        <w:t>Donald Tremblay</w:t>
      </w:r>
      <w:r w:rsidR="00815F9B" w:rsidRPr="00F23C83">
        <w:rPr>
          <w:rFonts w:cs="Arial"/>
        </w:rPr>
        <w:t xml:space="preserve">, directeur de la Clinique (P-8), </w:t>
      </w:r>
      <w:r w:rsidR="003F5316" w:rsidRPr="00F23C83">
        <w:rPr>
          <w:rFonts w:cs="Arial"/>
        </w:rPr>
        <w:t xml:space="preserve">et cinq (5) déclarations sous serment d’utilisateurs du parc de planche à roulettes </w:t>
      </w:r>
      <w:r w:rsidR="00015D5D" w:rsidRPr="00F23C83">
        <w:rPr>
          <w:rFonts w:cs="Arial"/>
        </w:rPr>
        <w:t>(P-16 à P-20)</w:t>
      </w:r>
      <w:r w:rsidR="003F5316" w:rsidRPr="00F23C83">
        <w:rPr>
          <w:rFonts w:cs="Arial"/>
        </w:rPr>
        <w:t xml:space="preserve">. </w:t>
      </w:r>
      <w:r w:rsidR="003F5316" w:rsidRPr="00307F1B">
        <w:rPr>
          <w:rFonts w:cs="Arial"/>
        </w:rPr>
        <w:t>La Ville a déposé trois (3) déclarations sous serment : deux de M. Pierre-Luc Lortie, chef de division Développement social et événements pour l’arrondissement du Plateau Mont-Royal ; une de Sylvain Malo, chef du poste de quartier 38, commandant de police à la direction des services de proximité, division de la gendarmerie Nord, au Service de police de la Ville de Montréal.</w:t>
      </w:r>
    </w:p>
  </w:footnote>
  <w:footnote w:id="9">
    <w:p w14:paraId="112BF84E" w14:textId="77777777" w:rsidR="00927C25" w:rsidRPr="00307F1B" w:rsidRDefault="00226EF5" w:rsidP="00927C25">
      <w:pPr>
        <w:pStyle w:val="Notedebasdepage"/>
        <w:rPr>
          <w:rFonts w:cs="Arial"/>
        </w:rPr>
      </w:pPr>
      <w:r w:rsidRPr="00307F1B">
        <w:rPr>
          <w:rStyle w:val="Appelnotedebasdep"/>
          <w:rFonts w:cs="Arial"/>
        </w:rPr>
        <w:footnoteRef/>
      </w:r>
      <w:r w:rsidRPr="00307F1B">
        <w:rPr>
          <w:rFonts w:cs="Arial"/>
        </w:rPr>
        <w:t xml:space="preserve"> </w:t>
      </w:r>
      <w:r w:rsidRPr="00307F1B">
        <w:rPr>
          <w:rFonts w:cs="Arial"/>
        </w:rPr>
        <w:tab/>
      </w:r>
      <w:r w:rsidRPr="00307F1B">
        <w:rPr>
          <w:rFonts w:cs="Arial"/>
          <w:i/>
          <w:iCs/>
        </w:rPr>
        <w:t xml:space="preserve">FLS Transportation Services Limited </w:t>
      </w:r>
      <w:r w:rsidRPr="00307F1B">
        <w:rPr>
          <w:rFonts w:cs="Arial"/>
        </w:rPr>
        <w:t xml:space="preserve">c. </w:t>
      </w:r>
      <w:r w:rsidRPr="00307F1B">
        <w:rPr>
          <w:rFonts w:cs="Arial"/>
          <w:i/>
          <w:iCs/>
        </w:rPr>
        <w:t>Fuze Logistics Services Inc</w:t>
      </w:r>
      <w:r w:rsidRPr="00307F1B">
        <w:rPr>
          <w:rFonts w:cs="Arial"/>
        </w:rPr>
        <w:t xml:space="preserve">., 2020 QCCA 1637 (CanLII), </w:t>
      </w:r>
      <w:r w:rsidR="00DE0415">
        <w:rPr>
          <w:rFonts w:cs="Arial"/>
        </w:rPr>
        <w:t>par</w:t>
      </w:r>
      <w:r w:rsidRPr="00307F1B">
        <w:rPr>
          <w:rFonts w:cs="Arial"/>
        </w:rPr>
        <w:t>. 23.</w:t>
      </w:r>
    </w:p>
  </w:footnote>
  <w:footnote w:id="10">
    <w:p w14:paraId="5EE18002" w14:textId="77777777" w:rsidR="009B7B4E" w:rsidRPr="00307F1B" w:rsidRDefault="00226EF5" w:rsidP="009B7B4E">
      <w:pPr>
        <w:pStyle w:val="Notedebasdepage"/>
        <w:rPr>
          <w:rFonts w:cs="Arial"/>
        </w:rPr>
      </w:pPr>
      <w:r w:rsidRPr="00307F1B">
        <w:rPr>
          <w:rStyle w:val="Appelnotedebasdep"/>
          <w:rFonts w:cs="Arial"/>
        </w:rPr>
        <w:footnoteRef/>
      </w:r>
      <w:r w:rsidRPr="00307F1B">
        <w:rPr>
          <w:rFonts w:cs="Arial"/>
        </w:rPr>
        <w:t xml:space="preserve"> </w:t>
      </w:r>
      <w:r w:rsidRPr="00307F1B">
        <w:rPr>
          <w:rFonts w:cs="Arial"/>
        </w:rPr>
        <w:tab/>
      </w:r>
      <w:r w:rsidRPr="00307F1B">
        <w:rPr>
          <w:rFonts w:cs="Arial"/>
          <w:i/>
          <w:iCs/>
        </w:rPr>
        <w:t xml:space="preserve">RJR-Macdonald Inc. </w:t>
      </w:r>
      <w:r w:rsidRPr="00307F1B">
        <w:rPr>
          <w:rFonts w:cs="Arial"/>
        </w:rPr>
        <w:t xml:space="preserve">c. </w:t>
      </w:r>
      <w:r w:rsidRPr="00307F1B">
        <w:rPr>
          <w:rFonts w:cs="Arial"/>
          <w:i/>
          <w:iCs/>
        </w:rPr>
        <w:t>Canada (Procureur général)</w:t>
      </w:r>
      <w:r w:rsidRPr="00307F1B">
        <w:rPr>
          <w:rFonts w:cs="Arial"/>
        </w:rPr>
        <w:t>, [1994] 1 RCS 311, p. 337.</w:t>
      </w:r>
    </w:p>
  </w:footnote>
  <w:footnote w:id="11">
    <w:p w14:paraId="0BF8A4FF" w14:textId="77777777" w:rsidR="00F70B02" w:rsidRPr="00307F1B" w:rsidRDefault="00226EF5">
      <w:pPr>
        <w:pStyle w:val="Notedebasdepage"/>
        <w:rPr>
          <w:rFonts w:cs="Arial"/>
        </w:rPr>
      </w:pPr>
      <w:r w:rsidRPr="00307F1B">
        <w:rPr>
          <w:rStyle w:val="Appelnotedebasdep"/>
          <w:rFonts w:cs="Arial"/>
        </w:rPr>
        <w:footnoteRef/>
      </w:r>
      <w:r w:rsidRPr="00307F1B">
        <w:rPr>
          <w:rFonts w:cs="Arial"/>
        </w:rPr>
        <w:t xml:space="preserve"> </w:t>
      </w:r>
      <w:r w:rsidRPr="00307F1B">
        <w:rPr>
          <w:rFonts w:cs="Arial"/>
        </w:rPr>
        <w:tab/>
      </w:r>
      <w:r w:rsidRPr="00307F1B">
        <w:rPr>
          <w:rFonts w:cs="Arial"/>
          <w:i/>
          <w:iCs/>
        </w:rPr>
        <w:t>Société canadienne pour la prévention de la cruauté envers les animaux c. Ville de Longueuil,</w:t>
      </w:r>
      <w:r w:rsidRPr="00DE0415">
        <w:rPr>
          <w:rFonts w:cs="Arial"/>
        </w:rPr>
        <w:t xml:space="preserve"> 2022 QCCA 1690</w:t>
      </w:r>
      <w:r w:rsidRPr="00307F1B">
        <w:rPr>
          <w:rFonts w:cs="Arial"/>
        </w:rPr>
        <w:t xml:space="preserve">, </w:t>
      </w:r>
      <w:r w:rsidR="00DE0415">
        <w:rPr>
          <w:rFonts w:cs="Arial"/>
        </w:rPr>
        <w:t>par</w:t>
      </w:r>
      <w:r w:rsidRPr="00307F1B">
        <w:rPr>
          <w:rFonts w:cs="Arial"/>
        </w:rPr>
        <w:t>.</w:t>
      </w:r>
      <w:r w:rsidRPr="00DE0415">
        <w:rPr>
          <w:rFonts w:cs="Arial"/>
        </w:rPr>
        <w:t xml:space="preserve"> 25</w:t>
      </w:r>
    </w:p>
  </w:footnote>
  <w:footnote w:id="12">
    <w:p w14:paraId="5CDE7D10" w14:textId="77777777" w:rsidR="0082174A" w:rsidRPr="00307F1B" w:rsidRDefault="00226EF5">
      <w:pPr>
        <w:pStyle w:val="Notedebasdepage"/>
        <w:rPr>
          <w:rFonts w:cs="Arial"/>
        </w:rPr>
      </w:pPr>
      <w:r w:rsidRPr="00307F1B">
        <w:rPr>
          <w:rStyle w:val="Appelnotedebasdep"/>
          <w:rFonts w:cs="Arial"/>
        </w:rPr>
        <w:footnoteRef/>
      </w:r>
      <w:r w:rsidRPr="00307F1B">
        <w:rPr>
          <w:rFonts w:cs="Arial"/>
        </w:rPr>
        <w:t xml:space="preserve"> </w:t>
      </w:r>
      <w:r w:rsidR="00DE0415">
        <w:rPr>
          <w:rFonts w:cs="Arial"/>
        </w:rPr>
        <w:tab/>
      </w:r>
      <w:r w:rsidRPr="00307F1B">
        <w:rPr>
          <w:rFonts w:cs="Arial"/>
          <w:i/>
          <w:iCs/>
        </w:rPr>
        <w:t>Doré c. Barreau du Québec</w:t>
      </w:r>
      <w:r w:rsidRPr="00307F1B">
        <w:rPr>
          <w:rFonts w:cs="Arial"/>
        </w:rPr>
        <w:t>, 2012 CSC 12, par</w:t>
      </w:r>
      <w:r w:rsidR="00DE0415">
        <w:rPr>
          <w:rFonts w:cs="Arial"/>
        </w:rPr>
        <w:t>.</w:t>
      </w:r>
      <w:r w:rsidRPr="00307F1B">
        <w:rPr>
          <w:rFonts w:cs="Arial"/>
        </w:rPr>
        <w:t xml:space="preserve"> 24.</w:t>
      </w:r>
    </w:p>
  </w:footnote>
  <w:footnote w:id="13">
    <w:p w14:paraId="5E70B204" w14:textId="77777777" w:rsidR="00F17DAA" w:rsidRPr="00307F1B" w:rsidRDefault="00226EF5">
      <w:pPr>
        <w:pStyle w:val="Notedebasdepage"/>
        <w:rPr>
          <w:rFonts w:cs="Arial"/>
        </w:rPr>
      </w:pPr>
      <w:r w:rsidRPr="00307F1B">
        <w:rPr>
          <w:rStyle w:val="Appelnotedebasdep"/>
          <w:rFonts w:cs="Arial"/>
        </w:rPr>
        <w:footnoteRef/>
      </w:r>
      <w:r w:rsidRPr="00307F1B">
        <w:rPr>
          <w:rFonts w:cs="Arial"/>
        </w:rPr>
        <w:t xml:space="preserve"> </w:t>
      </w:r>
      <w:r w:rsidR="00DE0415">
        <w:rPr>
          <w:rFonts w:cs="Arial"/>
        </w:rPr>
        <w:tab/>
      </w:r>
      <w:r w:rsidRPr="00307F1B">
        <w:rPr>
          <w:rFonts w:cs="Arial"/>
          <w:i/>
          <w:iCs/>
        </w:rPr>
        <w:t>R. c. Morgentaler</w:t>
      </w:r>
      <w:r w:rsidRPr="00307F1B">
        <w:rPr>
          <w:rFonts w:cs="Arial"/>
        </w:rPr>
        <w:t>, [1988] 1 RCS 30, p. 166.</w:t>
      </w:r>
    </w:p>
  </w:footnote>
  <w:footnote w:id="14">
    <w:p w14:paraId="246A302D" w14:textId="77777777" w:rsidR="0082174A"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Association de la police montée de l’Ontario c. Canada (Procureur général)</w:t>
      </w:r>
      <w:r w:rsidRPr="00F23C83">
        <w:rPr>
          <w:rFonts w:cs="Arial"/>
        </w:rPr>
        <w:t>, 2015 CSC 1, par</w:t>
      </w:r>
      <w:r w:rsidR="00DE0415" w:rsidRPr="00F23C83">
        <w:rPr>
          <w:rFonts w:cs="Arial"/>
        </w:rPr>
        <w:t>.</w:t>
      </w:r>
      <w:r w:rsidRPr="00F23C83">
        <w:rPr>
          <w:rFonts w:cs="Arial"/>
        </w:rPr>
        <w:t xml:space="preserve"> 54.</w:t>
      </w:r>
    </w:p>
  </w:footnote>
  <w:footnote w:id="15">
    <w:p w14:paraId="18C6F755" w14:textId="77777777" w:rsidR="00BB0FDF"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Charte des droits et libertés de la personne</w:t>
      </w:r>
      <w:r w:rsidRPr="00F23C83">
        <w:rPr>
          <w:rFonts w:cs="Arial"/>
        </w:rPr>
        <w:t xml:space="preserve">, R.C.Q., ch. C-12 (« </w:t>
      </w:r>
      <w:r w:rsidRPr="00F23C83">
        <w:rPr>
          <w:rFonts w:cs="Arial"/>
          <w:i/>
          <w:iCs/>
        </w:rPr>
        <w:t xml:space="preserve">Charte québécoise </w:t>
      </w:r>
      <w:r w:rsidRPr="00F23C83">
        <w:rPr>
          <w:rFonts w:cs="Arial"/>
        </w:rPr>
        <w:t>»), art. 1</w:t>
      </w:r>
      <w:r w:rsidR="00DE0415" w:rsidRPr="00F23C83">
        <w:rPr>
          <w:rFonts w:cs="Arial"/>
        </w:rPr>
        <w:t>.</w:t>
      </w:r>
    </w:p>
  </w:footnote>
  <w:footnote w:id="16">
    <w:p w14:paraId="240B2836" w14:textId="77777777" w:rsidR="00BB0FDF"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Charte canadienne des droits et libertés</w:t>
      </w:r>
      <w:r w:rsidRPr="00F23C83">
        <w:rPr>
          <w:rFonts w:cs="Arial"/>
        </w:rPr>
        <w:t xml:space="preserve">, partie I de la </w:t>
      </w:r>
      <w:r w:rsidRPr="00F23C83">
        <w:rPr>
          <w:rFonts w:cs="Arial"/>
          <w:i/>
          <w:iCs/>
        </w:rPr>
        <w:t>Loi constitutionnelle de 1982</w:t>
      </w:r>
      <w:r w:rsidRPr="00F23C83">
        <w:rPr>
          <w:rFonts w:cs="Arial"/>
        </w:rPr>
        <w:t xml:space="preserve">, constituant l’annexe B de la </w:t>
      </w:r>
      <w:r w:rsidRPr="00F23C83">
        <w:rPr>
          <w:rFonts w:cs="Arial"/>
          <w:i/>
          <w:iCs/>
        </w:rPr>
        <w:t xml:space="preserve">Loi de 1982 sur le Canada </w:t>
      </w:r>
      <w:r w:rsidRPr="00F23C83">
        <w:rPr>
          <w:rFonts w:cs="Arial"/>
        </w:rPr>
        <w:t>(R.-U.), 1982, ch. 11 (« Charte</w:t>
      </w:r>
      <w:r w:rsidRPr="00F23C83">
        <w:rPr>
          <w:rFonts w:cs="Arial"/>
          <w:i/>
          <w:iCs/>
        </w:rPr>
        <w:t xml:space="preserve"> canadienne </w:t>
      </w:r>
      <w:r w:rsidRPr="00F23C83">
        <w:rPr>
          <w:rFonts w:cs="Arial"/>
        </w:rPr>
        <w:t>»), art. 7.</w:t>
      </w:r>
    </w:p>
  </w:footnote>
  <w:footnote w:id="17">
    <w:p w14:paraId="5B125929" w14:textId="77777777" w:rsidR="00302045"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Chaoulli c. Québec (Procureur général)</w:t>
      </w:r>
      <w:r w:rsidRPr="00F23C83">
        <w:rPr>
          <w:rFonts w:cs="Arial"/>
        </w:rPr>
        <w:t xml:space="preserve">, 2005 CSC 35, </w:t>
      </w:r>
      <w:r w:rsidR="0057140C" w:rsidRPr="00F23C83">
        <w:rPr>
          <w:rFonts w:cs="Arial"/>
        </w:rPr>
        <w:t>par. 29 et</w:t>
      </w:r>
      <w:r w:rsidRPr="00F23C83">
        <w:rPr>
          <w:rFonts w:cs="Arial"/>
        </w:rPr>
        <w:t xml:space="preserve"> 30 </w:t>
      </w:r>
      <w:r w:rsidR="00121AEE" w:rsidRPr="00F23C83">
        <w:rPr>
          <w:rFonts w:cs="Arial"/>
        </w:rPr>
        <w:t xml:space="preserve">; </w:t>
      </w:r>
      <w:r w:rsidR="00121AEE" w:rsidRPr="00F23C83">
        <w:rPr>
          <w:rFonts w:cs="Arial"/>
          <w:i/>
          <w:iCs/>
        </w:rPr>
        <w:t>Procureur général du Québec c. Gallant</w:t>
      </w:r>
      <w:r w:rsidR="00121AEE" w:rsidRPr="00F23C83">
        <w:rPr>
          <w:rFonts w:cs="Arial"/>
        </w:rPr>
        <w:t>, 2021 QCCA 1701, par</w:t>
      </w:r>
      <w:r w:rsidR="00DE0415" w:rsidRPr="00F23C83">
        <w:rPr>
          <w:rFonts w:cs="Arial"/>
        </w:rPr>
        <w:t>.</w:t>
      </w:r>
      <w:r w:rsidR="00121AEE" w:rsidRPr="00F23C83">
        <w:rPr>
          <w:rFonts w:cs="Arial"/>
        </w:rPr>
        <w:t xml:space="preserve"> 160.</w:t>
      </w:r>
    </w:p>
  </w:footnote>
  <w:footnote w:id="18">
    <w:p w14:paraId="69F366EA" w14:textId="77777777" w:rsidR="00302045"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Chaoulli c. Québec (Procureur général)</w:t>
      </w:r>
      <w:r w:rsidRPr="00F23C83">
        <w:rPr>
          <w:rFonts w:cs="Arial"/>
        </w:rPr>
        <w:t>, 2005 CSC 35, par</w:t>
      </w:r>
      <w:r w:rsidR="00DE0415" w:rsidRPr="00F23C83">
        <w:rPr>
          <w:rFonts w:cs="Arial"/>
        </w:rPr>
        <w:t>.</w:t>
      </w:r>
      <w:r w:rsidRPr="00F23C83">
        <w:rPr>
          <w:rFonts w:cs="Arial"/>
        </w:rPr>
        <w:t xml:space="preserve"> 30. </w:t>
      </w:r>
      <w:r w:rsidR="00BB0FDF" w:rsidRPr="00F23C83">
        <w:rPr>
          <w:rFonts w:cs="Arial"/>
        </w:rPr>
        <w:t xml:space="preserve">La Cour suprême précise également que lorsque les deux sont soulevés au Québec, il convient d’examiner en premier lieu les arguments fondés sur la Charte québécoise </w:t>
      </w:r>
      <w:r w:rsidR="0057140C" w:rsidRPr="00F23C83">
        <w:rPr>
          <w:rFonts w:cs="Arial"/>
        </w:rPr>
        <w:t xml:space="preserve">: </w:t>
      </w:r>
      <w:r w:rsidR="0057140C" w:rsidRPr="00F23C83">
        <w:rPr>
          <w:rFonts w:cs="Arial"/>
          <w:i/>
          <w:iCs/>
        </w:rPr>
        <w:t xml:space="preserve">Chaoulli, </w:t>
      </w:r>
      <w:r w:rsidR="0057140C" w:rsidRPr="00F23C83">
        <w:rPr>
          <w:rFonts w:cs="Arial"/>
        </w:rPr>
        <w:t>par</w:t>
      </w:r>
      <w:r w:rsidR="00DE0415" w:rsidRPr="00F23C83">
        <w:rPr>
          <w:rFonts w:cs="Arial"/>
        </w:rPr>
        <w:t>.</w:t>
      </w:r>
      <w:r w:rsidR="0057140C" w:rsidRPr="00F23C83">
        <w:rPr>
          <w:rFonts w:cs="Arial"/>
        </w:rPr>
        <w:t xml:space="preserve"> 26.</w:t>
      </w:r>
    </w:p>
  </w:footnote>
  <w:footnote w:id="19">
    <w:p w14:paraId="39C003DD" w14:textId="77777777" w:rsidR="00A11483"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Bedford c. Canada (Procureur général)</w:t>
      </w:r>
      <w:r w:rsidRPr="00F23C83">
        <w:rPr>
          <w:rFonts w:cs="Arial"/>
        </w:rPr>
        <w:t>,</w:t>
      </w:r>
      <w:r w:rsidR="00C14E50" w:rsidRPr="00F23C83">
        <w:rPr>
          <w:rFonts w:cs="Arial"/>
        </w:rPr>
        <w:t xml:space="preserve"> 2013 CSC 7, </w:t>
      </w:r>
      <w:r w:rsidRPr="00F23C83">
        <w:rPr>
          <w:rFonts w:cs="Arial"/>
        </w:rPr>
        <w:t>par</w:t>
      </w:r>
      <w:r w:rsidR="00DE0415" w:rsidRPr="00F23C83">
        <w:rPr>
          <w:rFonts w:cs="Arial"/>
        </w:rPr>
        <w:t>.</w:t>
      </w:r>
      <w:r w:rsidRPr="00F23C83">
        <w:rPr>
          <w:rFonts w:cs="Arial"/>
        </w:rPr>
        <w:t xml:space="preserve"> 76</w:t>
      </w:r>
      <w:r w:rsidR="00DE0415" w:rsidRPr="00F23C83">
        <w:rPr>
          <w:rFonts w:cs="Arial"/>
        </w:rPr>
        <w:t>.</w:t>
      </w:r>
    </w:p>
  </w:footnote>
  <w:footnote w:id="20">
    <w:p w14:paraId="1660FB7F" w14:textId="77777777" w:rsidR="00B304B8"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Nouveau-Brunswick (ministre de la Santé et des Services communautaires) c. G. (J.)</w:t>
      </w:r>
      <w:r w:rsidRPr="00F23C83">
        <w:rPr>
          <w:rFonts w:cs="Arial"/>
        </w:rPr>
        <w:t>, [1999] 3 RCS 46, par</w:t>
      </w:r>
      <w:r w:rsidR="00DE0415" w:rsidRPr="00F23C83">
        <w:rPr>
          <w:rFonts w:cs="Arial"/>
        </w:rPr>
        <w:t>.</w:t>
      </w:r>
      <w:r w:rsidRPr="00F23C83">
        <w:rPr>
          <w:rFonts w:cs="Arial"/>
        </w:rPr>
        <w:t xml:space="preserve"> 58.</w:t>
      </w:r>
    </w:p>
  </w:footnote>
  <w:footnote w:id="21">
    <w:p w14:paraId="219CF22F" w14:textId="77777777" w:rsidR="00917D8C" w:rsidRPr="00F23C83" w:rsidRDefault="00226EF5" w:rsidP="00917D8C">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Chaoulli c. Québec (Procureur général)</w:t>
      </w:r>
      <w:r w:rsidRPr="00F23C83">
        <w:rPr>
          <w:rFonts w:cs="Arial"/>
        </w:rPr>
        <w:t>, 2005 CSC 35, par</w:t>
      </w:r>
      <w:r w:rsidR="00DE0415" w:rsidRPr="00F23C83">
        <w:rPr>
          <w:rFonts w:cs="Arial"/>
        </w:rPr>
        <w:t>.</w:t>
      </w:r>
      <w:r w:rsidRPr="00F23C83">
        <w:rPr>
          <w:rFonts w:cs="Arial"/>
        </w:rPr>
        <w:t xml:space="preserve"> 116. </w:t>
      </w:r>
    </w:p>
  </w:footnote>
  <w:footnote w:id="22">
    <w:p w14:paraId="1D03ADA6" w14:textId="77777777" w:rsidR="00C14E50" w:rsidRPr="00F23C83" w:rsidRDefault="00226EF5" w:rsidP="00C14E50">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R. c. Ndhlovu</w:t>
      </w:r>
      <w:r w:rsidRPr="00F23C83">
        <w:rPr>
          <w:rFonts w:cs="Arial"/>
        </w:rPr>
        <w:t>, 2022 CSC 38, par</w:t>
      </w:r>
      <w:r w:rsidR="00DE0415" w:rsidRPr="00F23C83">
        <w:rPr>
          <w:rFonts w:cs="Arial"/>
        </w:rPr>
        <w:t>.</w:t>
      </w:r>
      <w:r w:rsidRPr="00F23C83">
        <w:rPr>
          <w:rFonts w:cs="Arial"/>
        </w:rPr>
        <w:t xml:space="preserve"> 51 ; </w:t>
      </w:r>
      <w:r w:rsidRPr="00F23C83">
        <w:rPr>
          <w:rFonts w:cs="Arial"/>
          <w:i/>
          <w:iCs/>
        </w:rPr>
        <w:t>Fleming c. Ontario</w:t>
      </w:r>
      <w:r w:rsidRPr="00F23C83">
        <w:rPr>
          <w:rFonts w:cs="Arial"/>
        </w:rPr>
        <w:t>, 2019 CSC 45, par</w:t>
      </w:r>
      <w:r w:rsidR="00DE0415" w:rsidRPr="00F23C83">
        <w:rPr>
          <w:rFonts w:cs="Arial"/>
        </w:rPr>
        <w:t>.</w:t>
      </w:r>
      <w:r w:rsidRPr="00F23C83">
        <w:rPr>
          <w:rFonts w:cs="Arial"/>
        </w:rPr>
        <w:t xml:space="preserve"> 65.</w:t>
      </w:r>
    </w:p>
  </w:footnote>
  <w:footnote w:id="23">
    <w:p w14:paraId="3129721A" w14:textId="77777777" w:rsidR="00C14E50" w:rsidRPr="00F23C83" w:rsidRDefault="00226EF5" w:rsidP="00C14E50">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 xml:space="preserve">Nouveau-Brunswick (ministre de la Santé et des Services communautaires) c. G. (J.), </w:t>
      </w:r>
      <w:r w:rsidRPr="00F23C83">
        <w:rPr>
          <w:rFonts w:cs="Arial"/>
        </w:rPr>
        <w:t>[1999] 3 RCS 46</w:t>
      </w:r>
      <w:r w:rsidR="00DE0415" w:rsidRPr="00F23C83">
        <w:rPr>
          <w:rFonts w:cs="Arial"/>
        </w:rPr>
        <w:t xml:space="preserve">, </w:t>
      </w:r>
      <w:r w:rsidRPr="00F23C83">
        <w:rPr>
          <w:rFonts w:cs="Arial"/>
        </w:rPr>
        <w:t>par</w:t>
      </w:r>
      <w:r w:rsidR="00DE0415" w:rsidRPr="00F23C83">
        <w:rPr>
          <w:rFonts w:cs="Arial"/>
        </w:rPr>
        <w:t>.</w:t>
      </w:r>
      <w:r w:rsidRPr="00F23C83">
        <w:rPr>
          <w:rFonts w:cs="Arial"/>
        </w:rPr>
        <w:t xml:space="preserve"> 59.</w:t>
      </w:r>
    </w:p>
  </w:footnote>
  <w:footnote w:id="24">
    <w:p w14:paraId="1E0B1D26" w14:textId="77777777" w:rsidR="00C14E50" w:rsidRPr="00F23C83" w:rsidRDefault="00226EF5" w:rsidP="00C14E50">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Godbout c. Longueuil (Ville)</w:t>
      </w:r>
      <w:r w:rsidRPr="00F23C83">
        <w:rPr>
          <w:rFonts w:cs="Arial"/>
        </w:rPr>
        <w:t>, [1997] 3 R.C.S. 844</w:t>
      </w:r>
      <w:r w:rsidR="00DE0415" w:rsidRPr="00F23C83">
        <w:rPr>
          <w:rFonts w:cs="Arial"/>
        </w:rPr>
        <w:t xml:space="preserve">, </w:t>
      </w:r>
      <w:r w:rsidRPr="00F23C83">
        <w:rPr>
          <w:rFonts w:cs="Arial"/>
        </w:rPr>
        <w:t>par</w:t>
      </w:r>
      <w:r w:rsidR="00DE0415" w:rsidRPr="00F23C83">
        <w:rPr>
          <w:rFonts w:cs="Arial"/>
        </w:rPr>
        <w:t>.</w:t>
      </w:r>
      <w:r w:rsidRPr="00F23C83">
        <w:rPr>
          <w:rFonts w:cs="Arial"/>
        </w:rPr>
        <w:t xml:space="preserve"> 66; </w:t>
      </w:r>
      <w:r w:rsidRPr="00F23C83">
        <w:rPr>
          <w:rFonts w:cs="Arial"/>
          <w:i/>
          <w:iCs/>
        </w:rPr>
        <w:t>Association of Justice Counsel c. Canada (Procureur général)</w:t>
      </w:r>
      <w:r w:rsidRPr="00F23C83">
        <w:rPr>
          <w:rFonts w:cs="Arial"/>
        </w:rPr>
        <w:t>, [2017] 2 R.C.S. 456</w:t>
      </w:r>
      <w:r w:rsidR="00DE0415" w:rsidRPr="00F23C83">
        <w:rPr>
          <w:rFonts w:cs="Arial"/>
        </w:rPr>
        <w:t xml:space="preserve">, </w:t>
      </w:r>
      <w:r w:rsidRPr="00F23C83">
        <w:rPr>
          <w:rFonts w:cs="Arial"/>
        </w:rPr>
        <w:t>par</w:t>
      </w:r>
      <w:r w:rsidR="00DE0415" w:rsidRPr="00F23C83">
        <w:rPr>
          <w:rFonts w:cs="Arial"/>
        </w:rPr>
        <w:t>.</w:t>
      </w:r>
      <w:r w:rsidRPr="00F23C83">
        <w:rPr>
          <w:rFonts w:cs="Arial"/>
        </w:rPr>
        <w:t xml:space="preserve"> 49.</w:t>
      </w:r>
    </w:p>
  </w:footnote>
  <w:footnote w:id="25">
    <w:p w14:paraId="2B69FC25" w14:textId="77777777" w:rsidR="00D0149D" w:rsidRPr="00F23C83" w:rsidRDefault="00226EF5" w:rsidP="00D0149D">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Société Radio-Canada c. Canada (Procureur général)</w:t>
      </w:r>
      <w:r w:rsidRPr="00F23C83">
        <w:rPr>
          <w:rFonts w:cs="Arial"/>
        </w:rPr>
        <w:t>, 2011 CSC 2, par</w:t>
      </w:r>
      <w:r w:rsidR="00DE0415" w:rsidRPr="00F23C83">
        <w:rPr>
          <w:rFonts w:cs="Arial"/>
        </w:rPr>
        <w:t>.</w:t>
      </w:r>
      <w:r w:rsidRPr="00F23C83">
        <w:rPr>
          <w:rFonts w:cs="Arial"/>
        </w:rPr>
        <w:t xml:space="preserve"> 32; </w:t>
      </w:r>
      <w:r w:rsidRPr="00F23C83">
        <w:rPr>
          <w:rFonts w:cs="Arial"/>
          <w:i/>
          <w:iCs/>
        </w:rPr>
        <w:t xml:space="preserve">Greater Vancouver Transportation Authority c. Fédération canadienne des étudiants </w:t>
      </w:r>
      <w:r w:rsidR="003A6D28" w:rsidRPr="00F23C83">
        <w:rPr>
          <w:rFonts w:cs="Arial"/>
          <w:i/>
          <w:iCs/>
        </w:rPr>
        <w:t xml:space="preserve">— </w:t>
      </w:r>
      <w:r w:rsidRPr="00F23C83">
        <w:rPr>
          <w:rFonts w:cs="Arial"/>
          <w:i/>
          <w:iCs/>
        </w:rPr>
        <w:t>section de la Colombie-Britannique</w:t>
      </w:r>
      <w:r w:rsidRPr="00F23C83">
        <w:rPr>
          <w:rFonts w:cs="Arial"/>
        </w:rPr>
        <w:t xml:space="preserve">, 2009 CSC 31, au par. 28. </w:t>
      </w:r>
      <w:r w:rsidRPr="00F23C83">
        <w:rPr>
          <w:rFonts w:cs="Arial"/>
          <w:i/>
          <w:iCs/>
        </w:rPr>
        <w:t>Ville de Montréal c. 2952-1366 Québec Inc</w:t>
      </w:r>
      <w:r w:rsidRPr="00F23C83">
        <w:rPr>
          <w:rFonts w:cs="Arial"/>
        </w:rPr>
        <w:t>., 2005 CSC 62, par. 61-80.</w:t>
      </w:r>
    </w:p>
  </w:footnote>
  <w:footnote w:id="26">
    <w:p w14:paraId="1BFAD9E8" w14:textId="77777777" w:rsidR="00561431"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Re B.C. Motor Vehicle Act</w:t>
      </w:r>
      <w:r w:rsidRPr="00F23C83">
        <w:rPr>
          <w:rFonts w:cs="Arial"/>
        </w:rPr>
        <w:t>, [1985] 2 R.C.S. 486</w:t>
      </w:r>
      <w:r w:rsidR="00DE0415" w:rsidRPr="00F23C83">
        <w:rPr>
          <w:rFonts w:cs="Arial"/>
        </w:rPr>
        <w:t xml:space="preserve">, </w:t>
      </w:r>
      <w:r w:rsidRPr="00F23C83">
        <w:rPr>
          <w:rFonts w:cs="Arial"/>
        </w:rPr>
        <w:t>par. 62-67</w:t>
      </w:r>
      <w:r w:rsidR="00360DD2" w:rsidRPr="00F23C83">
        <w:rPr>
          <w:rFonts w:cs="Arial"/>
        </w:rPr>
        <w:t>.</w:t>
      </w:r>
    </w:p>
  </w:footnote>
  <w:footnote w:id="27">
    <w:p w14:paraId="0186512F" w14:textId="77777777" w:rsidR="00C73DA8"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00360DD2" w:rsidRPr="00F23C83">
        <w:rPr>
          <w:rFonts w:cs="Arial"/>
          <w:i/>
          <w:iCs/>
        </w:rPr>
        <w:t>Canada (Procureur général) c. Bedford</w:t>
      </w:r>
      <w:r w:rsidR="00360DD2" w:rsidRPr="00F23C83">
        <w:rPr>
          <w:rFonts w:cs="Arial"/>
        </w:rPr>
        <w:t>, 2013 CSC 72, par</w:t>
      </w:r>
      <w:r w:rsidR="00DE0415" w:rsidRPr="00F23C83">
        <w:rPr>
          <w:rFonts w:cs="Arial"/>
        </w:rPr>
        <w:t>.</w:t>
      </w:r>
      <w:r w:rsidR="00360DD2" w:rsidRPr="00F23C83">
        <w:rPr>
          <w:rFonts w:cs="Arial"/>
        </w:rPr>
        <w:t xml:space="preserve"> 120. </w:t>
      </w:r>
    </w:p>
  </w:footnote>
  <w:footnote w:id="28">
    <w:p w14:paraId="18E51885" w14:textId="77777777" w:rsidR="003B3B95"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Singh c. Ministre de l’Emploi et de l’Immigration</w:t>
      </w:r>
      <w:r w:rsidRPr="00F23C83">
        <w:rPr>
          <w:rFonts w:cs="Arial"/>
        </w:rPr>
        <w:t>, [1985] 1 R.C.S. 177</w:t>
      </w:r>
      <w:r w:rsidR="00F32A04" w:rsidRPr="00F23C83">
        <w:rPr>
          <w:rFonts w:cs="Arial"/>
        </w:rPr>
        <w:t xml:space="preserve">. </w:t>
      </w:r>
      <w:r w:rsidRPr="00F23C83">
        <w:rPr>
          <w:rFonts w:cs="Arial"/>
        </w:rPr>
        <w:t xml:space="preserve">Trois des six juges ont statué sur l’affaire en se fondant sur les exigences de l’article 7 de la </w:t>
      </w:r>
      <w:r w:rsidRPr="00F23C83">
        <w:rPr>
          <w:rFonts w:cs="Arial"/>
          <w:i/>
          <w:iCs/>
        </w:rPr>
        <w:t xml:space="preserve">Charte, tandis que </w:t>
      </w:r>
      <w:r w:rsidRPr="00F23C83">
        <w:rPr>
          <w:rFonts w:cs="Arial"/>
        </w:rPr>
        <w:t xml:space="preserve">les trois autres sont parvenus à la même conclusion en s’appuyant sur l’alinéa 2e) de la </w:t>
      </w:r>
      <w:r w:rsidRPr="00F23C83">
        <w:rPr>
          <w:rFonts w:cs="Arial"/>
          <w:i/>
          <w:iCs/>
        </w:rPr>
        <w:t>Déclaration canadienne des droits</w:t>
      </w:r>
      <w:r w:rsidRPr="00F23C83">
        <w:rPr>
          <w:rFonts w:cs="Arial"/>
        </w:rPr>
        <w:t xml:space="preserve">.  </w:t>
      </w:r>
    </w:p>
  </w:footnote>
  <w:footnote w:id="29">
    <w:p w14:paraId="27EA72BF" w14:textId="77777777" w:rsidR="0062388C" w:rsidRPr="00DE0415"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Baker c. Canada (Ministre de la Citoyenneté et de l’Immigration)</w:t>
      </w:r>
      <w:r w:rsidRPr="00F23C83">
        <w:rPr>
          <w:rFonts w:cs="Arial"/>
        </w:rPr>
        <w:t>, [1999] 2 RCS 817, par</w:t>
      </w:r>
      <w:r w:rsidR="00DE0415" w:rsidRPr="00F23C83">
        <w:rPr>
          <w:rFonts w:cs="Arial"/>
        </w:rPr>
        <w:t>.</w:t>
      </w:r>
      <w:r w:rsidRPr="00F23C83">
        <w:rPr>
          <w:rFonts w:cs="Arial"/>
        </w:rPr>
        <w:t xml:space="preserve"> 30-32.</w:t>
      </w:r>
      <w:r w:rsidR="00AA3AFD" w:rsidRPr="00F23C83">
        <w:rPr>
          <w:rFonts w:cs="Arial"/>
        </w:rPr>
        <w:t xml:space="preserve"> </w:t>
      </w:r>
      <w:r w:rsidR="00AA3AFD" w:rsidRPr="00F23C83">
        <w:rPr>
          <w:rFonts w:cs="Arial"/>
          <w:i/>
          <w:iCs/>
        </w:rPr>
        <w:t>Suresh c. Canada (Ministre de la Citoyenneté et de l’Immigration)</w:t>
      </w:r>
      <w:r w:rsidR="00AA3AFD" w:rsidRPr="00F23C83">
        <w:rPr>
          <w:rFonts w:cs="Arial"/>
        </w:rPr>
        <w:t>, 2002 CSC 1, par</w:t>
      </w:r>
      <w:r w:rsidR="00DE0415" w:rsidRPr="00F23C83">
        <w:rPr>
          <w:rFonts w:cs="Arial"/>
        </w:rPr>
        <w:t>.</w:t>
      </w:r>
      <w:r w:rsidR="00AA3AFD" w:rsidRPr="00F23C83">
        <w:rPr>
          <w:rFonts w:cs="Arial"/>
        </w:rPr>
        <w:t xml:space="preserve"> 113; </w:t>
      </w:r>
      <w:r w:rsidR="00AA3AFD" w:rsidRPr="00F23C83">
        <w:rPr>
          <w:rFonts w:cs="Arial"/>
          <w:i/>
          <w:iCs/>
        </w:rPr>
        <w:t>Charkaoui c. Canada (Citoyenneté et Immigration)</w:t>
      </w:r>
      <w:r w:rsidR="00AA3AFD" w:rsidRPr="00F23C83">
        <w:rPr>
          <w:rFonts w:cs="Arial"/>
        </w:rPr>
        <w:t>, 2008 CSC 38 (CanLII), [2008] 2 RCS 326, par</w:t>
      </w:r>
      <w:r w:rsidR="00DE0415" w:rsidRPr="00F23C83">
        <w:rPr>
          <w:rFonts w:cs="Arial"/>
        </w:rPr>
        <w:t>.</w:t>
      </w:r>
      <w:r w:rsidR="00AA3AFD" w:rsidRPr="00DE0415">
        <w:rPr>
          <w:rFonts w:cs="Arial"/>
        </w:rPr>
        <w:t xml:space="preserve"> 57</w:t>
      </w:r>
      <w:r w:rsidR="00DE0415" w:rsidRPr="00DE0415">
        <w:rPr>
          <w:rFonts w:cs="Arial"/>
        </w:rPr>
        <w:t>.</w:t>
      </w:r>
    </w:p>
  </w:footnote>
  <w:footnote w:id="30">
    <w:p w14:paraId="6840D2DA" w14:textId="77777777" w:rsidR="00121AEE" w:rsidRPr="00F23C83" w:rsidRDefault="00226EF5">
      <w:pPr>
        <w:pStyle w:val="Notedebasdepage"/>
        <w:rPr>
          <w:rFonts w:cs="Arial"/>
        </w:rPr>
      </w:pPr>
      <w:r w:rsidRPr="00307F1B">
        <w:rPr>
          <w:rStyle w:val="Appelnotedebasdep"/>
          <w:rFonts w:cs="Arial"/>
        </w:rPr>
        <w:footnoteRef/>
      </w:r>
      <w:r w:rsidRPr="00307F1B">
        <w:rPr>
          <w:rFonts w:cs="Arial"/>
        </w:rPr>
        <w:t xml:space="preserve"> </w:t>
      </w:r>
      <w:r w:rsidR="00DE0415">
        <w:rPr>
          <w:rFonts w:cs="Arial"/>
        </w:rPr>
        <w:tab/>
      </w:r>
      <w:r w:rsidRPr="00307F1B">
        <w:rPr>
          <w:rFonts w:cs="Arial"/>
          <w:i/>
          <w:iCs/>
        </w:rPr>
        <w:t>2747—3174 Québec Inc. c. Québec (Régie des permis d’alcool)</w:t>
      </w:r>
      <w:r w:rsidRPr="00307F1B">
        <w:rPr>
          <w:rFonts w:cs="Arial"/>
        </w:rPr>
        <w:t>, [1996] 3 RCS 919, par</w:t>
      </w:r>
      <w:r w:rsidR="00DE0415">
        <w:rPr>
          <w:rFonts w:cs="Arial"/>
        </w:rPr>
        <w:t>.</w:t>
      </w:r>
      <w:r w:rsidRPr="00F23C83">
        <w:rPr>
          <w:rFonts w:cs="Arial"/>
        </w:rPr>
        <w:t xml:space="preserve"> 21. </w:t>
      </w:r>
    </w:p>
  </w:footnote>
  <w:footnote w:id="31">
    <w:p w14:paraId="19E5E601" w14:textId="77777777" w:rsidR="00AA3AFD"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Ruby c. Canada (Solliciteur général)</w:t>
      </w:r>
      <w:r w:rsidRPr="00F23C83">
        <w:rPr>
          <w:rFonts w:cs="Arial"/>
        </w:rPr>
        <w:t>, 2002 CSC 75, par</w:t>
      </w:r>
      <w:r w:rsidR="00DE0415" w:rsidRPr="00F23C83">
        <w:rPr>
          <w:rFonts w:cs="Arial"/>
        </w:rPr>
        <w:t>.</w:t>
      </w:r>
      <w:r w:rsidRPr="00F23C83">
        <w:rPr>
          <w:rFonts w:cs="Arial"/>
        </w:rPr>
        <w:t xml:space="preserve"> 39; </w:t>
      </w:r>
      <w:r w:rsidRPr="00F23C83">
        <w:rPr>
          <w:rFonts w:cs="Arial"/>
          <w:i/>
          <w:iCs/>
        </w:rPr>
        <w:t>Charkaoui c. Canada (Citoyenneté et Immigration)</w:t>
      </w:r>
      <w:r w:rsidRPr="00F23C83">
        <w:rPr>
          <w:rFonts w:cs="Arial"/>
        </w:rPr>
        <w:t>, 2008 CSC 38, par</w:t>
      </w:r>
      <w:r w:rsidR="00DE0415" w:rsidRPr="00F23C83">
        <w:rPr>
          <w:rFonts w:cs="Arial"/>
        </w:rPr>
        <w:t>.</w:t>
      </w:r>
      <w:r w:rsidRPr="00F23C83">
        <w:rPr>
          <w:rFonts w:cs="Arial"/>
        </w:rPr>
        <w:t xml:space="preserve"> 56; </w:t>
      </w:r>
      <w:r w:rsidRPr="00F23C83">
        <w:rPr>
          <w:rFonts w:cs="Arial"/>
          <w:i/>
          <w:iCs/>
        </w:rPr>
        <w:t>Mission Institution c. Khela</w:t>
      </w:r>
      <w:r w:rsidRPr="00F23C83">
        <w:rPr>
          <w:rFonts w:cs="Arial"/>
        </w:rPr>
        <w:t>, 2014 CSC 24, par</w:t>
      </w:r>
      <w:r w:rsidR="00DE0415" w:rsidRPr="00F23C83">
        <w:rPr>
          <w:rFonts w:cs="Arial"/>
        </w:rPr>
        <w:t>.</w:t>
      </w:r>
      <w:r w:rsidRPr="00F23C83">
        <w:rPr>
          <w:rFonts w:cs="Arial"/>
        </w:rPr>
        <w:t xml:space="preserve"> 83; </w:t>
      </w:r>
      <w:r w:rsidRPr="00F23C83">
        <w:rPr>
          <w:rFonts w:cs="Arial"/>
          <w:i/>
          <w:iCs/>
        </w:rPr>
        <w:t>Knight c. Indian Head School Division No. 19</w:t>
      </w:r>
      <w:r w:rsidRPr="00F23C83">
        <w:rPr>
          <w:rFonts w:cs="Arial"/>
        </w:rPr>
        <w:t xml:space="preserve">, [1990] 1 R.C.S. 653, p. 682; </w:t>
      </w:r>
      <w:r w:rsidRPr="00F23C83">
        <w:rPr>
          <w:rFonts w:cs="Arial"/>
          <w:i/>
          <w:iCs/>
        </w:rPr>
        <w:t>Baker c. Canada (Ministre de la Citoyenneté et de l’Immigration)</w:t>
      </w:r>
      <w:r w:rsidRPr="00F23C83">
        <w:rPr>
          <w:rFonts w:cs="Arial"/>
        </w:rPr>
        <w:t>, [1999] 2 R.C.S. 817, par. 21</w:t>
      </w:r>
      <w:r w:rsidR="00DE0415" w:rsidRPr="00F23C83">
        <w:rPr>
          <w:rFonts w:cs="Arial"/>
        </w:rPr>
        <w:t>.</w:t>
      </w:r>
    </w:p>
  </w:footnote>
  <w:footnote w:id="32">
    <w:p w14:paraId="23B56645" w14:textId="77777777" w:rsidR="00E45BC6"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Charkaoui c. Canada (Citoyenneté et Immigration)</w:t>
      </w:r>
      <w:r w:rsidRPr="00F23C83">
        <w:rPr>
          <w:rFonts w:cs="Arial"/>
        </w:rPr>
        <w:t>, 2008 CSC 38, par. 53-58</w:t>
      </w:r>
      <w:r w:rsidR="00606E40" w:rsidRPr="00F23C83">
        <w:rPr>
          <w:rFonts w:cs="Arial"/>
        </w:rPr>
        <w:t xml:space="preserve">; </w:t>
      </w:r>
      <w:r w:rsidR="00606E40" w:rsidRPr="00F23C83">
        <w:rPr>
          <w:rFonts w:cs="Arial"/>
          <w:i/>
          <w:iCs/>
        </w:rPr>
        <w:t>Suresh c. Canada (Ministre de la Citoyenneté et de l’Immigration)</w:t>
      </w:r>
      <w:r w:rsidR="00606E40" w:rsidRPr="00F23C83">
        <w:rPr>
          <w:rFonts w:cs="Arial"/>
        </w:rPr>
        <w:t>, 2002 CSC 1, par</w:t>
      </w:r>
      <w:r w:rsidR="00DE0415" w:rsidRPr="00F23C83">
        <w:rPr>
          <w:rFonts w:cs="Arial"/>
        </w:rPr>
        <w:t>.</w:t>
      </w:r>
      <w:r w:rsidR="00606E40" w:rsidRPr="00F23C83">
        <w:rPr>
          <w:rFonts w:cs="Arial"/>
        </w:rPr>
        <w:t xml:space="preserve"> 118.</w:t>
      </w:r>
    </w:p>
  </w:footnote>
  <w:footnote w:id="33">
    <w:p w14:paraId="0121177F" w14:textId="77777777" w:rsidR="00606E40" w:rsidRPr="00F23C83" w:rsidRDefault="00226EF5" w:rsidP="00606E40">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Singh c. Ministre de l’Emploi et de l’Immigration</w:t>
      </w:r>
      <w:r w:rsidRPr="00F23C83">
        <w:rPr>
          <w:rFonts w:cs="Arial"/>
        </w:rPr>
        <w:t>, [1985] 1 R.C.S. 177, par</w:t>
      </w:r>
      <w:r w:rsidR="00DE0415" w:rsidRPr="00F23C83">
        <w:rPr>
          <w:rFonts w:cs="Arial"/>
        </w:rPr>
        <w:t>.</w:t>
      </w:r>
      <w:r w:rsidRPr="00F23C83">
        <w:rPr>
          <w:rFonts w:cs="Arial"/>
        </w:rPr>
        <w:t xml:space="preserve"> 23 ; </w:t>
      </w:r>
      <w:r w:rsidRPr="00F23C83">
        <w:rPr>
          <w:rFonts w:cs="Arial"/>
          <w:i/>
          <w:iCs/>
        </w:rPr>
        <w:t>Charkaoui c. Canada (Citoyenneté et Immigration)</w:t>
      </w:r>
      <w:r w:rsidRPr="00F23C83">
        <w:rPr>
          <w:rFonts w:cs="Arial"/>
        </w:rPr>
        <w:t>, 2008 CSC 38, par</w:t>
      </w:r>
      <w:r w:rsidR="00DE0415" w:rsidRPr="00F23C83">
        <w:rPr>
          <w:rFonts w:cs="Arial"/>
        </w:rPr>
        <w:t>.</w:t>
      </w:r>
      <w:r w:rsidRPr="00F23C83">
        <w:rPr>
          <w:rFonts w:cs="Arial"/>
        </w:rPr>
        <w:t xml:space="preserve"> 53. </w:t>
      </w:r>
    </w:p>
  </w:footnote>
  <w:footnote w:id="34">
    <w:p w14:paraId="6D8F1FFA" w14:textId="77777777" w:rsidR="00B85A3E" w:rsidRPr="00F23C83" w:rsidRDefault="00226EF5" w:rsidP="00B85A3E">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rPr>
        <w:t xml:space="preserve">Voir par exemple : </w:t>
      </w:r>
      <w:r w:rsidRPr="00F23C83">
        <w:rPr>
          <w:rFonts w:cs="Arial"/>
          <w:i/>
          <w:iCs/>
        </w:rPr>
        <w:t>Tanudjaja c. Canada (Procureur général), 2014 ONCA 852</w:t>
      </w:r>
      <w:r w:rsidRPr="00F23C83">
        <w:rPr>
          <w:rFonts w:cs="Arial"/>
        </w:rPr>
        <w:t>, par</w:t>
      </w:r>
      <w:r w:rsidR="00DE0415" w:rsidRPr="00F23C83">
        <w:rPr>
          <w:rFonts w:cs="Arial"/>
        </w:rPr>
        <w:t>.</w:t>
      </w:r>
      <w:r w:rsidRPr="00F23C83">
        <w:rPr>
          <w:rFonts w:cs="Arial"/>
        </w:rPr>
        <w:t xml:space="preserve"> 30. </w:t>
      </w:r>
    </w:p>
  </w:footnote>
  <w:footnote w:id="35">
    <w:p w14:paraId="26CAA68B" w14:textId="77777777" w:rsidR="00E178D8" w:rsidRPr="00F23C83" w:rsidRDefault="00226EF5" w:rsidP="000F7B08">
      <w:pPr>
        <w:pStyle w:val="Notedebasdepage"/>
        <w:rPr>
          <w:rFonts w:cs="Arial"/>
        </w:rPr>
      </w:pPr>
      <w:r w:rsidRPr="00307F1B">
        <w:rPr>
          <w:rStyle w:val="Appelnotedebasdep"/>
          <w:rFonts w:cs="Arial"/>
        </w:rPr>
        <w:footnoteRef/>
      </w:r>
      <w:r w:rsidRPr="00F23C83">
        <w:rPr>
          <w:rFonts w:cs="Arial"/>
        </w:rPr>
        <w:t xml:space="preserve"> </w:t>
      </w:r>
      <w:r w:rsidR="00DE0415" w:rsidRPr="00F23C83">
        <w:rPr>
          <w:rFonts w:cs="Arial"/>
        </w:rPr>
        <w:tab/>
      </w:r>
      <w:r w:rsidRPr="00F23C83">
        <w:rPr>
          <w:rFonts w:cs="Arial"/>
          <w:i/>
          <w:iCs/>
        </w:rPr>
        <w:t>Haig c. Canada (Directeur général des élections)</w:t>
      </w:r>
      <w:r w:rsidRPr="00F23C83">
        <w:rPr>
          <w:rFonts w:cs="Arial"/>
        </w:rPr>
        <w:t>, [1993] 2 RCS 995, p. 1038</w:t>
      </w:r>
      <w:r w:rsidR="000F7B08" w:rsidRPr="00F23C83">
        <w:rPr>
          <w:rFonts w:cs="Arial"/>
        </w:rPr>
        <w:t>,</w:t>
      </w:r>
      <w:r w:rsidRPr="00F23C83">
        <w:rPr>
          <w:rFonts w:cs="Arial"/>
        </w:rPr>
        <w:t xml:space="preserve"> citant l’opinion dissidente du juge en chef Dickson dans </w:t>
      </w:r>
      <w:r w:rsidR="000F7B08" w:rsidRPr="00F23C83">
        <w:rPr>
          <w:rFonts w:cs="Arial"/>
          <w:i/>
          <w:iCs/>
        </w:rPr>
        <w:t>le Renvoi concernant la Loi sur les relations de travail dans la fonction publique (Alberta)</w:t>
      </w:r>
      <w:r w:rsidR="000F7B08" w:rsidRPr="00F23C83">
        <w:rPr>
          <w:rFonts w:cs="Arial"/>
        </w:rPr>
        <w:t xml:space="preserve">, [1987] 1 S.C.R. 313, qui serait finalement adoptée par la Cour suprême pour définir le contexte de l’al. 2d) dans </w:t>
      </w:r>
      <w:r w:rsidR="000F7B08" w:rsidRPr="00F23C83">
        <w:rPr>
          <w:rFonts w:cs="Arial"/>
          <w:i/>
          <w:iCs/>
        </w:rPr>
        <w:t>Dunmore c. Ontario (Procureur général)</w:t>
      </w:r>
      <w:r w:rsidR="000F7B08" w:rsidRPr="00F23C83">
        <w:rPr>
          <w:rFonts w:cs="Arial"/>
        </w:rPr>
        <w:t xml:space="preserve">, 2001 CSC 94, [2001] 3 RCS 1016 et </w:t>
      </w:r>
      <w:r w:rsidR="000F7B08" w:rsidRPr="00F23C83">
        <w:rPr>
          <w:rFonts w:cs="Arial"/>
          <w:i/>
          <w:iCs/>
        </w:rPr>
        <w:t>Ontario (Procureur général) c. Fraser</w:t>
      </w:r>
      <w:r w:rsidR="000F7B08" w:rsidRPr="00F23C83">
        <w:rPr>
          <w:rFonts w:cs="Arial"/>
        </w:rPr>
        <w:t xml:space="preserve">, 2011 CSC 20. </w:t>
      </w:r>
      <w:r w:rsidR="0048302B" w:rsidRPr="00EB30CC">
        <w:rPr>
          <w:rFonts w:cs="Arial"/>
        </w:rPr>
        <w:t xml:space="preserve">Il convient de noter que dans l’affaire  </w:t>
      </w:r>
      <w:r w:rsidR="0048302B" w:rsidRPr="00EB30CC">
        <w:rPr>
          <w:rFonts w:cs="Arial"/>
          <w:i/>
          <w:iCs/>
        </w:rPr>
        <w:t>Société des casinos du Québec inc. c. Association des cadres de la Société des casinos du Québec</w:t>
      </w:r>
      <w:r w:rsidR="0048302B" w:rsidRPr="00EB30CC">
        <w:rPr>
          <w:rFonts w:cs="Arial"/>
        </w:rPr>
        <w:t>, 2024 CSC 13, par</w:t>
      </w:r>
      <w:r w:rsidR="00EB30CC" w:rsidRPr="00EB30CC">
        <w:rPr>
          <w:rFonts w:cs="Arial"/>
        </w:rPr>
        <w:t>.</w:t>
      </w:r>
      <w:r w:rsidR="0048302B" w:rsidRPr="00F23C83">
        <w:rPr>
          <w:rFonts w:cs="Arial"/>
        </w:rPr>
        <w:t xml:space="preserve"> 7, une majorité de la Cour s’est opposée à ce que l’obligation de permettre la syndicalisation soit considérée comme une obligation positive. L’opinion dissidente a exprimé le point de vue contraire.  </w:t>
      </w:r>
      <w:r w:rsidR="000F7B08" w:rsidRPr="00F23C83">
        <w:rPr>
          <w:rFonts w:cs="Arial"/>
        </w:rPr>
        <w:t xml:space="preserve"> </w:t>
      </w:r>
    </w:p>
  </w:footnote>
  <w:footnote w:id="36">
    <w:p w14:paraId="4763F717" w14:textId="77777777" w:rsidR="00134C46"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EB30CC" w:rsidRPr="00F23C83">
        <w:rPr>
          <w:rFonts w:cs="Arial"/>
        </w:rPr>
        <w:tab/>
      </w:r>
      <w:r w:rsidR="00B85A3E" w:rsidRPr="00F23C83">
        <w:rPr>
          <w:rFonts w:cs="Arial"/>
        </w:rPr>
        <w:t xml:space="preserve">Pour l’article 2 de la Charte : </w:t>
      </w:r>
      <w:r w:rsidRPr="00F23C83">
        <w:rPr>
          <w:rFonts w:cs="Arial"/>
          <w:i/>
          <w:iCs/>
        </w:rPr>
        <w:t>Toronto (Ville) c. Ontario (Procureur général)</w:t>
      </w:r>
      <w:r w:rsidRPr="00F23C83">
        <w:rPr>
          <w:rFonts w:cs="Arial"/>
        </w:rPr>
        <w:t>, 2021 CSC 34, par</w:t>
      </w:r>
      <w:r w:rsidR="00EB30CC" w:rsidRPr="00F23C83">
        <w:rPr>
          <w:rFonts w:cs="Arial"/>
        </w:rPr>
        <w:t>.</w:t>
      </w:r>
      <w:r w:rsidRPr="00F23C83">
        <w:rPr>
          <w:rFonts w:cs="Arial"/>
        </w:rPr>
        <w:t xml:space="preserve"> 20 </w:t>
      </w:r>
      <w:r w:rsidR="009426D3" w:rsidRPr="00F23C83">
        <w:rPr>
          <w:rFonts w:cs="Arial"/>
        </w:rPr>
        <w:t xml:space="preserve">; </w:t>
      </w:r>
      <w:r w:rsidR="009426D3" w:rsidRPr="00F23C83">
        <w:rPr>
          <w:rFonts w:cs="Arial"/>
          <w:i/>
          <w:iCs/>
        </w:rPr>
        <w:t>Baier c. Alberta</w:t>
      </w:r>
      <w:r w:rsidR="009426D3" w:rsidRPr="00F23C83">
        <w:rPr>
          <w:rFonts w:cs="Arial"/>
        </w:rPr>
        <w:t>, 2007 CSC 31</w:t>
      </w:r>
      <w:r w:rsidR="00EB30CC" w:rsidRPr="00F23C83">
        <w:rPr>
          <w:rFonts w:cs="Arial"/>
        </w:rPr>
        <w:t>.</w:t>
      </w:r>
    </w:p>
  </w:footnote>
  <w:footnote w:id="37">
    <w:p w14:paraId="610B09F7" w14:textId="77777777" w:rsidR="00B85A3E"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EB30CC" w:rsidRPr="00F23C83">
        <w:rPr>
          <w:rFonts w:cs="Arial"/>
        </w:rPr>
        <w:tab/>
      </w:r>
      <w:r w:rsidRPr="00F23C83">
        <w:rPr>
          <w:rFonts w:cs="Arial"/>
        </w:rPr>
        <w:t xml:space="preserve">En ce qui concerne l’article 15 de la Charte : </w:t>
      </w:r>
      <w:r w:rsidRPr="00F23C83">
        <w:rPr>
          <w:rFonts w:cs="Arial"/>
          <w:i/>
          <w:iCs/>
        </w:rPr>
        <w:t>R. c. Sharma</w:t>
      </w:r>
      <w:r w:rsidRPr="00F23C83">
        <w:rPr>
          <w:rFonts w:cs="Arial"/>
        </w:rPr>
        <w:t>, 2022 CSC 39</w:t>
      </w:r>
      <w:r w:rsidR="00EB30CC" w:rsidRPr="00F23C83">
        <w:rPr>
          <w:rFonts w:cs="Arial"/>
        </w:rPr>
        <w:t xml:space="preserve">, </w:t>
      </w:r>
      <w:r w:rsidRPr="00F23C83">
        <w:rPr>
          <w:rFonts w:cs="Arial"/>
        </w:rPr>
        <w:t>par</w:t>
      </w:r>
      <w:r w:rsidR="00EB30CC" w:rsidRPr="00F23C83">
        <w:rPr>
          <w:rFonts w:cs="Arial"/>
        </w:rPr>
        <w:t>.</w:t>
      </w:r>
      <w:r w:rsidRPr="00F23C83">
        <w:rPr>
          <w:rFonts w:cs="Arial"/>
        </w:rPr>
        <w:t xml:space="preserve"> 63.</w:t>
      </w:r>
    </w:p>
  </w:footnote>
  <w:footnote w:id="38">
    <w:p w14:paraId="7F8A360C" w14:textId="77777777" w:rsidR="00E852E4"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EB30CC" w:rsidRPr="00F23C83">
        <w:rPr>
          <w:rFonts w:cs="Arial"/>
        </w:rPr>
        <w:tab/>
      </w:r>
      <w:r w:rsidRPr="00F23C83">
        <w:rPr>
          <w:rFonts w:cs="Arial"/>
          <w:i/>
          <w:iCs/>
        </w:rPr>
        <w:t>Gosselin c. Québec (Procureur général)</w:t>
      </w:r>
      <w:r w:rsidRPr="00F23C83">
        <w:rPr>
          <w:rFonts w:cs="Arial"/>
        </w:rPr>
        <w:t xml:space="preserve">, 2002 CSC 84, </w:t>
      </w:r>
      <w:r w:rsidR="00EB30CC" w:rsidRPr="00F23C83">
        <w:rPr>
          <w:rFonts w:cs="Arial"/>
        </w:rPr>
        <w:t>par</w:t>
      </w:r>
      <w:r w:rsidRPr="00F23C83">
        <w:rPr>
          <w:rFonts w:cs="Arial"/>
        </w:rPr>
        <w:t>. 83</w:t>
      </w:r>
      <w:r w:rsidR="00EB30CC" w:rsidRPr="00F23C83">
        <w:rPr>
          <w:rFonts w:cs="Arial"/>
        </w:rPr>
        <w:t>.</w:t>
      </w:r>
      <w:r w:rsidRPr="00F23C83">
        <w:rPr>
          <w:rFonts w:cs="Arial"/>
        </w:rPr>
        <w:t xml:space="preserve"> </w:t>
      </w:r>
    </w:p>
  </w:footnote>
  <w:footnote w:id="39">
    <w:p w14:paraId="74486B15" w14:textId="77777777" w:rsidR="00E852E4"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EB30CC" w:rsidRPr="00F23C83">
        <w:rPr>
          <w:rFonts w:cs="Arial"/>
        </w:rPr>
        <w:tab/>
      </w:r>
      <w:r w:rsidRPr="00F23C83">
        <w:rPr>
          <w:rFonts w:cs="Arial"/>
          <w:i/>
          <w:iCs/>
        </w:rPr>
        <w:t>Gosselin c. Québec (Procureur général)</w:t>
      </w:r>
      <w:r w:rsidRPr="00F23C83">
        <w:rPr>
          <w:rFonts w:cs="Arial"/>
        </w:rPr>
        <w:t xml:space="preserve">, 2002 CSC 84, </w:t>
      </w:r>
      <w:r w:rsidR="00EB30CC" w:rsidRPr="00F23C83">
        <w:rPr>
          <w:rFonts w:cs="Arial"/>
        </w:rPr>
        <w:t>par</w:t>
      </w:r>
      <w:r w:rsidRPr="00F23C83">
        <w:rPr>
          <w:rFonts w:cs="Arial"/>
        </w:rPr>
        <w:t>. 83</w:t>
      </w:r>
      <w:r w:rsidR="00EB30CC" w:rsidRPr="00F23C83">
        <w:rPr>
          <w:rFonts w:cs="Arial"/>
        </w:rPr>
        <w:t>.</w:t>
      </w:r>
    </w:p>
  </w:footnote>
  <w:footnote w:id="40">
    <w:p w14:paraId="1941073B" w14:textId="77777777" w:rsidR="00E26E4A"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EB30CC" w:rsidRPr="00F23C83">
        <w:rPr>
          <w:rFonts w:cs="Arial"/>
        </w:rPr>
        <w:tab/>
      </w:r>
      <w:r w:rsidRPr="00F23C83">
        <w:rPr>
          <w:rFonts w:cs="Arial"/>
        </w:rPr>
        <w:t>P-7</w:t>
      </w:r>
      <w:r w:rsidR="00EB30CC" w:rsidRPr="00F23C83">
        <w:rPr>
          <w:rFonts w:cs="Arial"/>
        </w:rPr>
        <w:t>.</w:t>
      </w:r>
    </w:p>
  </w:footnote>
  <w:footnote w:id="41">
    <w:p w14:paraId="6EBF2CFC" w14:textId="77777777" w:rsidR="00964D47" w:rsidRPr="00F23C83" w:rsidRDefault="00226EF5" w:rsidP="00964D47">
      <w:pPr>
        <w:pStyle w:val="Notedebasdepage"/>
      </w:pPr>
      <w:r>
        <w:rPr>
          <w:rStyle w:val="Appelnotedebasdep"/>
        </w:rPr>
        <w:footnoteRef/>
      </w:r>
      <w:r w:rsidRPr="00F23C83">
        <w:t xml:space="preserve"> </w:t>
      </w:r>
      <w:r w:rsidRPr="00F23C83">
        <w:tab/>
        <w:t xml:space="preserve">La Clinique a déposé cinq (5) déclarations sous serment signées par des usagers de l’installation (y compris des parents d’enfants) qui affirment que le campement ne nuit pas à leur utilisation du parc de planche à roulettes. Des photos montrant l’emplacement des tentes par rapport au parc et à ses installations ont également été déposées à l’appui de la requête. </w:t>
      </w:r>
    </w:p>
  </w:footnote>
  <w:footnote w:id="42">
    <w:p w14:paraId="372DB57C" w14:textId="77777777" w:rsidR="00303595" w:rsidRPr="00F23C83" w:rsidRDefault="00226EF5">
      <w:pPr>
        <w:pStyle w:val="Notedebasdepage"/>
        <w:rPr>
          <w:rFonts w:cs="Arial"/>
        </w:rPr>
      </w:pPr>
      <w:r w:rsidRPr="00307F1B">
        <w:rPr>
          <w:rStyle w:val="Appelnotedebasdep"/>
          <w:rFonts w:cs="Arial"/>
        </w:rPr>
        <w:footnoteRef/>
      </w:r>
      <w:r w:rsidRPr="00F23C83">
        <w:rPr>
          <w:rFonts w:cs="Arial"/>
        </w:rPr>
        <w:t xml:space="preserve"> </w:t>
      </w:r>
      <w:r w:rsidR="00EB30CC" w:rsidRPr="00F23C83">
        <w:rPr>
          <w:rFonts w:cs="Arial"/>
        </w:rPr>
        <w:tab/>
      </w:r>
      <w:r w:rsidRPr="00F23C83">
        <w:rPr>
          <w:rFonts w:cs="Arial"/>
        </w:rPr>
        <w:t xml:space="preserve">La deuxième déclaration sous serment de M. Lortie ne permet pas de déterminer clairement si le Champs des possibles offre une telle possibilité. La limite qu’il observe concerne la capacité d’accueil du Champs, et non la durée. Rien dans les présents motifs ne doit être interprété comme excluant cette option si elle est offerte. </w:t>
      </w:r>
    </w:p>
  </w:footnote>
  <w:footnote w:id="43">
    <w:p w14:paraId="6F982C49" w14:textId="77777777" w:rsidR="002C5CE6" w:rsidRDefault="00226EF5">
      <w:pPr>
        <w:pStyle w:val="Notedebasdepage"/>
      </w:pPr>
      <w:r>
        <w:rPr>
          <w:rStyle w:val="Appelnotedebasdep"/>
        </w:rPr>
        <w:footnoteRef/>
      </w:r>
      <w:r>
        <w:t xml:space="preserve"> </w:t>
      </w:r>
      <w:r>
        <w:tab/>
      </w:r>
      <w:r w:rsidRPr="00307F1B">
        <w:rPr>
          <w:rFonts w:cs="Arial"/>
          <w:i/>
          <w:iCs/>
        </w:rPr>
        <w:t>Société canadienne pour la prévention de la cruauté envers les animaux c. Ville de Longueuil,</w:t>
      </w:r>
      <w:r w:rsidRPr="00DE0415">
        <w:rPr>
          <w:rFonts w:cs="Arial"/>
        </w:rPr>
        <w:t xml:space="preserve"> 2022 QCCA 1690</w:t>
      </w:r>
      <w:r w:rsidRPr="00307F1B">
        <w:rPr>
          <w:rFonts w:cs="Arial"/>
        </w:rPr>
        <w:t xml:space="preserve">, </w:t>
      </w:r>
      <w:r w:rsidR="00B4717E">
        <w:rPr>
          <w:rFonts w:cs="Arial"/>
        </w:rPr>
        <w:t>par</w:t>
      </w:r>
      <w:r w:rsidRPr="00307F1B">
        <w:rPr>
          <w:rFonts w:cs="Arial"/>
        </w:rPr>
        <w:t>.</w:t>
      </w:r>
      <w:r w:rsidR="00B4717E">
        <w:rPr>
          <w:rFonts w:cs="Arial"/>
        </w:rPr>
        <w:t xml:space="preserve"> 32 à</w:t>
      </w:r>
      <w:r>
        <w:rPr>
          <w:rFonts w:cs="Arial"/>
        </w:rPr>
        <w:t xml:space="preserve"> 34.</w:t>
      </w:r>
    </w:p>
  </w:footnote>
  <w:footnote w:id="44">
    <w:p w14:paraId="3BE7EF58" w14:textId="77777777" w:rsidR="00ED1F88" w:rsidRPr="00F23C83" w:rsidRDefault="00226EF5" w:rsidP="00ED1F88">
      <w:pPr>
        <w:pStyle w:val="Notedebasdepage"/>
        <w:rPr>
          <w:rFonts w:cs="Arial"/>
        </w:rPr>
      </w:pPr>
      <w:r w:rsidRPr="00307F1B">
        <w:rPr>
          <w:rStyle w:val="Appelnotedebasdep"/>
          <w:rFonts w:cs="Arial"/>
        </w:rPr>
        <w:footnoteRef/>
      </w:r>
      <w:r w:rsidRPr="00F23C83">
        <w:rPr>
          <w:rFonts w:cs="Arial"/>
        </w:rPr>
        <w:t xml:space="preserve"> </w:t>
      </w:r>
      <w:r w:rsidRPr="00F23C83">
        <w:rPr>
          <w:rFonts w:cs="Arial"/>
        </w:rPr>
        <w:tab/>
        <w:t xml:space="preserve">Les parties ont convenu que la présente ordonnance resterait en vigueur jusqu’à l’audience sur le fond. </w:t>
      </w:r>
      <w:r w:rsidR="00F23C83">
        <w:rPr>
          <w:rFonts w:cs="Arial"/>
        </w:rPr>
        <w:t>Le Tribunal</w:t>
      </w:r>
      <w:r w:rsidRPr="00F23C83">
        <w:rPr>
          <w:rFonts w:cs="Arial"/>
        </w:rPr>
        <w:t xml:space="preserve"> a proposé de fixer l’audience dès que le dossier sera prêt pour le procès. La Clinique a indiqué qu’elle serait prête dès le 19 juin 2026. La Ville estime qu’elle aura besoin d’un délai allant jusqu’au mois de septembre. </w:t>
      </w:r>
    </w:p>
  </w:footnote>
  <w:footnote w:id="45">
    <w:p w14:paraId="4BD5E280" w14:textId="77777777" w:rsidR="00C450A6" w:rsidRPr="00307F1B" w:rsidRDefault="00226EF5" w:rsidP="00C450A6">
      <w:pPr>
        <w:pStyle w:val="Notedebasdepage"/>
        <w:rPr>
          <w:rFonts w:cs="Arial"/>
        </w:rPr>
      </w:pPr>
      <w:r w:rsidRPr="00307F1B">
        <w:rPr>
          <w:rStyle w:val="Appelnotedebasdep"/>
          <w:rFonts w:cs="Arial"/>
        </w:rPr>
        <w:footnoteRef/>
      </w:r>
      <w:r w:rsidRPr="00307F1B">
        <w:rPr>
          <w:rFonts w:cs="Arial"/>
        </w:rPr>
        <w:t xml:space="preserve"> </w:t>
      </w:r>
      <w:r w:rsidR="00EB30CC">
        <w:rPr>
          <w:rFonts w:cs="Arial"/>
        </w:rPr>
        <w:tab/>
      </w:r>
      <w:r w:rsidR="00B828F8" w:rsidRPr="00307F1B">
        <w:rPr>
          <w:rFonts w:cs="Arial"/>
          <w:i/>
          <w:iCs/>
        </w:rPr>
        <w:t>Doucet-Boudreau c. Nouvelle-Écosse (ministre de l’Éducation)</w:t>
      </w:r>
      <w:r w:rsidR="00B828F8" w:rsidRPr="00307F1B">
        <w:rPr>
          <w:rFonts w:cs="Arial"/>
        </w:rPr>
        <w:t xml:space="preserve">, 2003 CSC 62, par. 34-36, 43 </w:t>
      </w:r>
      <w:r w:rsidR="00DF1186" w:rsidRPr="00307F1B">
        <w:rPr>
          <w:rFonts w:cs="Arial"/>
        </w:rPr>
        <w:t xml:space="preserve">; </w:t>
      </w:r>
      <w:r w:rsidRPr="00307F1B">
        <w:rPr>
          <w:rFonts w:cs="Arial"/>
          <w:i/>
          <w:iCs/>
        </w:rPr>
        <w:t xml:space="preserve">Clinique juridique itinérante c. Procureur général du Québec </w:t>
      </w:r>
      <w:r w:rsidR="003A6D28">
        <w:rPr>
          <w:rFonts w:cs="Arial"/>
          <w:i/>
          <w:iCs/>
        </w:rPr>
        <w:t xml:space="preserve">— </w:t>
      </w:r>
      <w:r w:rsidRPr="00307F1B">
        <w:rPr>
          <w:rFonts w:cs="Arial"/>
          <w:i/>
          <w:iCs/>
        </w:rPr>
        <w:t>Ministère des Transports et de la Mobilité durable du Québec</w:t>
      </w:r>
      <w:r w:rsidRPr="00307F1B">
        <w:rPr>
          <w:rFonts w:cs="Arial"/>
        </w:rPr>
        <w:t xml:space="preserve">, 2023 QCCA 855, </w:t>
      </w:r>
      <w:r w:rsidR="00EB30CC">
        <w:rPr>
          <w:rFonts w:cs="Arial"/>
        </w:rPr>
        <w:t>par.</w:t>
      </w:r>
      <w:r w:rsidRPr="00307F1B">
        <w:rPr>
          <w:rFonts w:cs="Arial"/>
        </w:rPr>
        <w:t xml:space="preserve"> 21-24.</w:t>
      </w:r>
    </w:p>
  </w:footnote>
  <w:footnote w:id="46">
    <w:p w14:paraId="675F390A" w14:textId="77777777" w:rsidR="0057542B" w:rsidRPr="00307F1B" w:rsidRDefault="00226EF5">
      <w:pPr>
        <w:pStyle w:val="Notedebasdepage"/>
        <w:rPr>
          <w:rFonts w:cs="Arial"/>
          <w:lang w:val="en-US"/>
        </w:rPr>
      </w:pPr>
      <w:r w:rsidRPr="00307F1B">
        <w:rPr>
          <w:rStyle w:val="Appelnotedebasdep"/>
          <w:rFonts w:cs="Arial"/>
        </w:rPr>
        <w:footnoteRef/>
      </w:r>
      <w:r w:rsidRPr="00307F1B">
        <w:rPr>
          <w:rFonts w:cs="Arial"/>
          <w:lang w:val="en-US"/>
        </w:rPr>
        <w:t xml:space="preserve"> </w:t>
      </w:r>
      <w:r w:rsidR="00EB30CC">
        <w:rPr>
          <w:rFonts w:cs="Arial"/>
          <w:lang w:val="en-US"/>
        </w:rPr>
        <w:tab/>
      </w:r>
      <w:r w:rsidRPr="00307F1B">
        <w:rPr>
          <w:rFonts w:cs="Arial"/>
          <w:i/>
          <w:iCs/>
          <w:lang w:val="en-US"/>
        </w:rPr>
        <w:t>Succession Sherman c. Donovan</w:t>
      </w:r>
      <w:r w:rsidRPr="00307F1B">
        <w:rPr>
          <w:rFonts w:cs="Arial"/>
          <w:lang w:val="en-US"/>
        </w:rPr>
        <w:t>, 2021 CSC 25, par</w:t>
      </w:r>
      <w:r w:rsidR="00EB30CC">
        <w:rPr>
          <w:rFonts w:cs="Arial"/>
          <w:lang w:val="en-US"/>
        </w:rPr>
        <w:t>.</w:t>
      </w:r>
      <w:r w:rsidRPr="00307F1B">
        <w:rPr>
          <w:rFonts w:cs="Arial"/>
          <w:lang w:val="en-US"/>
        </w:rPr>
        <w:t xml:space="preserv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DAAB" w14:textId="77777777" w:rsidR="00EB30CC" w:rsidRDefault="00EB30C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A8BD" w14:textId="77777777" w:rsidR="00121A72" w:rsidRDefault="00226EF5">
    <w:pPr>
      <w:tabs>
        <w:tab w:val="center" w:pos="4709"/>
        <w:tab w:val="right" w:pos="9360"/>
      </w:tabs>
      <w:ind w:right="524"/>
    </w:pPr>
    <w:r>
      <w:t>500-17-138478-261</w:t>
    </w:r>
    <w:r>
      <w:tab/>
    </w:r>
    <w:r>
      <w:tab/>
      <w:t xml:space="preserve">PAGE : </w:t>
    </w:r>
    <w:r>
      <w:fldChar w:fldCharType="begin"/>
    </w:r>
    <w:r>
      <w:instrText xml:space="preserve"> PAGE </w:instrText>
    </w:r>
    <w:r>
      <w:fldChar w:fldCharType="separate"/>
    </w:r>
    <w:r>
      <w:rPr>
        <w:noProof/>
      </w:rPr>
      <w:t>17</w:t>
    </w:r>
    <w:r>
      <w:fldChar w:fldCharType="end"/>
    </w:r>
  </w:p>
  <w:p w14:paraId="1738248B" w14:textId="77777777" w:rsidR="00121A72" w:rsidRDefault="00121A72">
    <w:pPr>
      <w:tabs>
        <w:tab w:val="center" w:pos="4709"/>
        <w:tab w:val="right" w:pos="9090"/>
      </w:tabs>
      <w:ind w:right="5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2B3A" w14:textId="77777777" w:rsidR="00EB30CC" w:rsidRDefault="00EB30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36E0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69EF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6E687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762F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75ED9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D008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1446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AE9E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C0D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C827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7641AE"/>
    <w:multiLevelType w:val="hybridMultilevel"/>
    <w:tmpl w:val="CCBCFC24"/>
    <w:lvl w:ilvl="0" w:tplc="4380F738">
      <w:start w:val="1"/>
      <w:numFmt w:val="decimal"/>
      <w:lvlText w:val="%1."/>
      <w:lvlJc w:val="left"/>
      <w:pPr>
        <w:ind w:left="720" w:hanging="360"/>
      </w:pPr>
    </w:lvl>
    <w:lvl w:ilvl="1" w:tplc="BE40416E" w:tentative="1">
      <w:start w:val="1"/>
      <w:numFmt w:val="lowerLetter"/>
      <w:lvlText w:val="%2."/>
      <w:lvlJc w:val="left"/>
      <w:pPr>
        <w:ind w:left="1440" w:hanging="360"/>
      </w:pPr>
    </w:lvl>
    <w:lvl w:ilvl="2" w:tplc="8B3CFE78" w:tentative="1">
      <w:start w:val="1"/>
      <w:numFmt w:val="lowerRoman"/>
      <w:lvlText w:val="%3."/>
      <w:lvlJc w:val="right"/>
      <w:pPr>
        <w:ind w:left="2160" w:hanging="180"/>
      </w:pPr>
    </w:lvl>
    <w:lvl w:ilvl="3" w:tplc="0B22734E" w:tentative="1">
      <w:start w:val="1"/>
      <w:numFmt w:val="decimal"/>
      <w:lvlText w:val="%4."/>
      <w:lvlJc w:val="left"/>
      <w:pPr>
        <w:ind w:left="2880" w:hanging="360"/>
      </w:pPr>
    </w:lvl>
    <w:lvl w:ilvl="4" w:tplc="05DE7FA0" w:tentative="1">
      <w:start w:val="1"/>
      <w:numFmt w:val="lowerLetter"/>
      <w:lvlText w:val="%5."/>
      <w:lvlJc w:val="left"/>
      <w:pPr>
        <w:ind w:left="3600" w:hanging="360"/>
      </w:pPr>
    </w:lvl>
    <w:lvl w:ilvl="5" w:tplc="A23A3276" w:tentative="1">
      <w:start w:val="1"/>
      <w:numFmt w:val="lowerRoman"/>
      <w:lvlText w:val="%6."/>
      <w:lvlJc w:val="right"/>
      <w:pPr>
        <w:ind w:left="4320" w:hanging="180"/>
      </w:pPr>
    </w:lvl>
    <w:lvl w:ilvl="6" w:tplc="499EC930" w:tentative="1">
      <w:start w:val="1"/>
      <w:numFmt w:val="decimal"/>
      <w:lvlText w:val="%7."/>
      <w:lvlJc w:val="left"/>
      <w:pPr>
        <w:ind w:left="5040" w:hanging="360"/>
      </w:pPr>
    </w:lvl>
    <w:lvl w:ilvl="7" w:tplc="C410245E" w:tentative="1">
      <w:start w:val="1"/>
      <w:numFmt w:val="lowerLetter"/>
      <w:lvlText w:val="%8."/>
      <w:lvlJc w:val="left"/>
      <w:pPr>
        <w:ind w:left="5760" w:hanging="360"/>
      </w:pPr>
    </w:lvl>
    <w:lvl w:ilvl="8" w:tplc="A454BC70" w:tentative="1">
      <w:start w:val="1"/>
      <w:numFmt w:val="lowerRoman"/>
      <w:lvlText w:val="%9."/>
      <w:lvlJc w:val="right"/>
      <w:pPr>
        <w:ind w:left="6480" w:hanging="180"/>
      </w:pPr>
    </w:lvl>
  </w:abstractNum>
  <w:abstractNum w:abstractNumId="11" w15:restartNumberingAfterBreak="0">
    <w:nsid w:val="29B11B71"/>
    <w:multiLevelType w:val="multilevel"/>
    <w:tmpl w:val="78E43A60"/>
    <w:name w:val="Style1"/>
    <w:styleLink w:val="Style1"/>
    <w:lvl w:ilvl="0">
      <w:start w:val="1"/>
      <w:numFmt w:val="decimal"/>
      <w:pStyle w:val="Titre2"/>
      <w:lvlText w:val="%1."/>
      <w:lvlJc w:val="left"/>
      <w:pPr>
        <w:ind w:left="431" w:hanging="431"/>
      </w:pPr>
      <w:rPr>
        <w:rFonts w:hint="default"/>
      </w:rPr>
    </w:lvl>
    <w:lvl w:ilvl="1">
      <w:start w:val="1"/>
      <w:numFmt w:val="decimal"/>
      <w:pStyle w:val="Titre3"/>
      <w:lvlText w:val="%1.%2"/>
      <w:lvlJc w:val="left"/>
      <w:pPr>
        <w:ind w:left="998" w:hanging="431"/>
      </w:pPr>
      <w:rPr>
        <w:rFonts w:hint="default"/>
      </w:rPr>
    </w:lvl>
    <w:lvl w:ilvl="2">
      <w:start w:val="1"/>
      <w:numFmt w:val="decimal"/>
      <w:pStyle w:val="Titre4"/>
      <w:lvlText w:val="%1.%2.%3"/>
      <w:lvlJc w:val="left"/>
      <w:pPr>
        <w:ind w:left="431" w:hanging="431"/>
      </w:pPr>
      <w:rPr>
        <w:rFonts w:hint="default"/>
      </w:rPr>
    </w:lvl>
    <w:lvl w:ilvl="3">
      <w:start w:val="1"/>
      <w:numFmt w:val="decimal"/>
      <w:pStyle w:val="Titre5"/>
      <w:lvlText w:val="%1.%2.%3.%4"/>
      <w:lvlJc w:val="left"/>
      <w:pPr>
        <w:ind w:left="431" w:hanging="431"/>
      </w:pPr>
      <w:rPr>
        <w:rFonts w:hint="default"/>
      </w:rPr>
    </w:lvl>
    <w:lvl w:ilvl="4">
      <w:start w:val="1"/>
      <w:numFmt w:val="decimal"/>
      <w:pStyle w:val="Titre6"/>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2" w15:restartNumberingAfterBreak="0">
    <w:nsid w:val="29F6013E"/>
    <w:multiLevelType w:val="hybridMultilevel"/>
    <w:tmpl w:val="64A6C874"/>
    <w:lvl w:ilvl="0" w:tplc="94CCEFDC">
      <w:start w:val="1"/>
      <w:numFmt w:val="decimal"/>
      <w:lvlText w:val="%1."/>
      <w:lvlJc w:val="left"/>
      <w:pPr>
        <w:ind w:left="720" w:hanging="360"/>
      </w:pPr>
      <w:rPr>
        <w:rFonts w:hint="default"/>
      </w:rPr>
    </w:lvl>
    <w:lvl w:ilvl="1" w:tplc="8460BA10" w:tentative="1">
      <w:start w:val="1"/>
      <w:numFmt w:val="lowerLetter"/>
      <w:lvlText w:val="%2."/>
      <w:lvlJc w:val="left"/>
      <w:pPr>
        <w:ind w:left="1440" w:hanging="360"/>
      </w:pPr>
    </w:lvl>
    <w:lvl w:ilvl="2" w:tplc="7F9CE46E" w:tentative="1">
      <w:start w:val="1"/>
      <w:numFmt w:val="lowerRoman"/>
      <w:lvlText w:val="%3."/>
      <w:lvlJc w:val="right"/>
      <w:pPr>
        <w:ind w:left="2160" w:hanging="180"/>
      </w:pPr>
    </w:lvl>
    <w:lvl w:ilvl="3" w:tplc="D63E94E8" w:tentative="1">
      <w:start w:val="1"/>
      <w:numFmt w:val="decimal"/>
      <w:lvlText w:val="%4."/>
      <w:lvlJc w:val="left"/>
      <w:pPr>
        <w:ind w:left="2880" w:hanging="360"/>
      </w:pPr>
    </w:lvl>
    <w:lvl w:ilvl="4" w:tplc="F0C68BCC" w:tentative="1">
      <w:start w:val="1"/>
      <w:numFmt w:val="lowerLetter"/>
      <w:lvlText w:val="%5."/>
      <w:lvlJc w:val="left"/>
      <w:pPr>
        <w:ind w:left="3600" w:hanging="360"/>
      </w:pPr>
    </w:lvl>
    <w:lvl w:ilvl="5" w:tplc="7D34C30A" w:tentative="1">
      <w:start w:val="1"/>
      <w:numFmt w:val="lowerRoman"/>
      <w:lvlText w:val="%6."/>
      <w:lvlJc w:val="right"/>
      <w:pPr>
        <w:ind w:left="4320" w:hanging="180"/>
      </w:pPr>
    </w:lvl>
    <w:lvl w:ilvl="6" w:tplc="ED16F548" w:tentative="1">
      <w:start w:val="1"/>
      <w:numFmt w:val="decimal"/>
      <w:lvlText w:val="%7."/>
      <w:lvlJc w:val="left"/>
      <w:pPr>
        <w:ind w:left="5040" w:hanging="360"/>
      </w:pPr>
    </w:lvl>
    <w:lvl w:ilvl="7" w:tplc="7E96D8AC" w:tentative="1">
      <w:start w:val="1"/>
      <w:numFmt w:val="lowerLetter"/>
      <w:lvlText w:val="%8."/>
      <w:lvlJc w:val="left"/>
      <w:pPr>
        <w:ind w:left="5760" w:hanging="360"/>
      </w:pPr>
    </w:lvl>
    <w:lvl w:ilvl="8" w:tplc="E6E0E6F8" w:tentative="1">
      <w:start w:val="1"/>
      <w:numFmt w:val="lowerRoman"/>
      <w:lvlText w:val="%9."/>
      <w:lvlJc w:val="right"/>
      <w:pPr>
        <w:ind w:left="6480" w:hanging="180"/>
      </w:pPr>
    </w:lvl>
  </w:abstractNum>
  <w:abstractNum w:abstractNumId="13" w15:restartNumberingAfterBreak="0">
    <w:nsid w:val="2ABB00AC"/>
    <w:multiLevelType w:val="multilevel"/>
    <w:tmpl w:val="B8565C9A"/>
    <w:lvl w:ilvl="0">
      <w:start w:val="1"/>
      <w:numFmt w:val="decimal"/>
      <w:lvlText w:val="%1"/>
      <w:lvlJc w:val="left"/>
      <w:pPr>
        <w:ind w:left="431" w:hanging="431"/>
      </w:pPr>
      <w:rPr>
        <w:rFonts w:hint="default"/>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pStyle w:val="Titre7"/>
      <w:lvlText w:val="%1.%2.%3.%4.%5.%6.%7"/>
      <w:lvlJc w:val="left"/>
      <w:pPr>
        <w:ind w:left="431" w:hanging="431"/>
      </w:pPr>
      <w:rPr>
        <w:rFonts w:hint="default"/>
      </w:rPr>
    </w:lvl>
    <w:lvl w:ilvl="7">
      <w:start w:val="1"/>
      <w:numFmt w:val="decimal"/>
      <w:pStyle w:val="Titre8"/>
      <w:lvlText w:val="%1.%2.%3.%4.%5.%6.%7.%8"/>
      <w:lvlJc w:val="left"/>
      <w:pPr>
        <w:ind w:left="431" w:hanging="431"/>
      </w:pPr>
      <w:rPr>
        <w:rFonts w:hint="default"/>
      </w:rPr>
    </w:lvl>
    <w:lvl w:ilvl="8">
      <w:start w:val="1"/>
      <w:numFmt w:val="decimal"/>
      <w:pStyle w:val="Titre9"/>
      <w:lvlText w:val="%1.%2.%3.%4.%5.%6.%7.%8.%9"/>
      <w:lvlJc w:val="left"/>
      <w:pPr>
        <w:ind w:left="431" w:hanging="431"/>
      </w:pPr>
      <w:rPr>
        <w:rFonts w:hint="default"/>
      </w:rPr>
    </w:lvl>
  </w:abstractNum>
  <w:abstractNum w:abstractNumId="14" w15:restartNumberingAfterBreak="0">
    <w:nsid w:val="406F14CA"/>
    <w:multiLevelType w:val="multilevel"/>
    <w:tmpl w:val="B77CC1B2"/>
    <w:lvl w:ilvl="0">
      <w:start w:val="1"/>
      <w:numFmt w:val="lowerRoman"/>
      <w:lvlText w:val="(%1)"/>
      <w:lvlJc w:val="right"/>
      <w:pPr>
        <w:tabs>
          <w:tab w:val="num" w:pos="1822"/>
        </w:tabs>
        <w:ind w:left="1462" w:firstLine="0"/>
      </w:pPr>
      <w:rPr>
        <w:rFonts w:ascii="Arial" w:eastAsia="Times New Roman" w:hAnsi="Arial" w:cs="Times New Roman"/>
        <w:b w:val="0"/>
        <w:i w:val="0"/>
        <w:sz w:val="24"/>
      </w:rPr>
    </w:lvl>
    <w:lvl w:ilvl="1">
      <w:start w:val="1"/>
      <w:numFmt w:val="decimal"/>
      <w:lvlText w:val="%1.%2."/>
      <w:lvlJc w:val="left"/>
      <w:pPr>
        <w:tabs>
          <w:tab w:val="num" w:pos="2462"/>
        </w:tabs>
        <w:ind w:left="2462" w:hanging="432"/>
      </w:pPr>
    </w:lvl>
    <w:lvl w:ilvl="2">
      <w:start w:val="1"/>
      <w:numFmt w:val="decimal"/>
      <w:lvlText w:val="%1.%2.%3."/>
      <w:lvlJc w:val="left"/>
      <w:pPr>
        <w:tabs>
          <w:tab w:val="num" w:pos="2902"/>
        </w:tabs>
        <w:ind w:left="2686" w:hanging="504"/>
      </w:pPr>
    </w:lvl>
    <w:lvl w:ilvl="3">
      <w:start w:val="1"/>
      <w:numFmt w:val="decimal"/>
      <w:lvlText w:val="%1.%2.%3.%4."/>
      <w:lvlJc w:val="left"/>
      <w:pPr>
        <w:tabs>
          <w:tab w:val="num" w:pos="3190"/>
        </w:tabs>
        <w:ind w:left="3190" w:hanging="648"/>
      </w:pPr>
    </w:lvl>
    <w:lvl w:ilvl="4">
      <w:start w:val="1"/>
      <w:numFmt w:val="decimal"/>
      <w:lvlText w:val="%1.%2.%3.%4.%5."/>
      <w:lvlJc w:val="left"/>
      <w:pPr>
        <w:tabs>
          <w:tab w:val="num" w:pos="3982"/>
        </w:tabs>
        <w:ind w:left="3694" w:hanging="792"/>
      </w:pPr>
    </w:lvl>
    <w:lvl w:ilvl="5">
      <w:start w:val="1"/>
      <w:numFmt w:val="decimal"/>
      <w:lvlText w:val="%1.%2.%3.%4.%5.%6."/>
      <w:lvlJc w:val="left"/>
      <w:pPr>
        <w:tabs>
          <w:tab w:val="num" w:pos="4702"/>
        </w:tabs>
        <w:ind w:left="4198" w:hanging="936"/>
      </w:pPr>
    </w:lvl>
    <w:lvl w:ilvl="6">
      <w:start w:val="1"/>
      <w:numFmt w:val="decimal"/>
      <w:lvlText w:val="%1.%2.%3.%4.%5.%6.%7."/>
      <w:lvlJc w:val="left"/>
      <w:pPr>
        <w:tabs>
          <w:tab w:val="num" w:pos="5062"/>
        </w:tabs>
        <w:ind w:left="4702" w:hanging="1080"/>
      </w:pPr>
    </w:lvl>
    <w:lvl w:ilvl="7">
      <w:start w:val="1"/>
      <w:numFmt w:val="decimal"/>
      <w:lvlText w:val="%1.%2.%3.%4.%5.%6.%7.%8."/>
      <w:lvlJc w:val="left"/>
      <w:pPr>
        <w:tabs>
          <w:tab w:val="num" w:pos="5782"/>
        </w:tabs>
        <w:ind w:left="5206" w:hanging="1224"/>
      </w:pPr>
    </w:lvl>
    <w:lvl w:ilvl="8">
      <w:start w:val="1"/>
      <w:numFmt w:val="decimal"/>
      <w:lvlText w:val="%1.%2.%3.%4.%5.%6.%7.%8.%9."/>
      <w:lvlJc w:val="left"/>
      <w:pPr>
        <w:tabs>
          <w:tab w:val="num" w:pos="6502"/>
        </w:tabs>
        <w:ind w:left="5782" w:hanging="1440"/>
      </w:pPr>
    </w:lvl>
  </w:abstractNum>
  <w:abstractNum w:abstractNumId="15" w15:restartNumberingAfterBreak="0">
    <w:nsid w:val="4BF423AA"/>
    <w:multiLevelType w:val="multilevel"/>
    <w:tmpl w:val="78E43A60"/>
    <w:name w:val="Style12"/>
    <w:numStyleLink w:val="Style1"/>
  </w:abstractNum>
  <w:abstractNum w:abstractNumId="16" w15:restartNumberingAfterBreak="0">
    <w:nsid w:val="52415801"/>
    <w:multiLevelType w:val="multilevel"/>
    <w:tmpl w:val="78E43A60"/>
    <w:numStyleLink w:val="Style1"/>
  </w:abstractNum>
  <w:abstractNum w:abstractNumId="17" w15:restartNumberingAfterBreak="0">
    <w:nsid w:val="5A0C4719"/>
    <w:multiLevelType w:val="multilevel"/>
    <w:tmpl w:val="78E43A60"/>
    <w:name w:val="Style13"/>
    <w:numStyleLink w:val="Style1"/>
  </w:abstractNum>
  <w:abstractNum w:abstractNumId="18" w15:restartNumberingAfterBreak="0">
    <w:nsid w:val="609C0DCC"/>
    <w:multiLevelType w:val="multilevel"/>
    <w:tmpl w:val="5720EF72"/>
    <w:lvl w:ilvl="0">
      <w:start w:val="1"/>
      <w:numFmt w:val="decimal"/>
      <w:pStyle w:val="Paragrdouble"/>
      <w:lvlText w:val="[%1]"/>
      <w:lvlJc w:val="left"/>
      <w:pPr>
        <w:tabs>
          <w:tab w:val="num" w:pos="360"/>
        </w:tabs>
        <w:ind w:left="0" w:firstLine="0"/>
      </w:pPr>
      <w:rPr>
        <w:rFonts w:ascii="Arial" w:hAnsi="Arial" w:hint="default"/>
        <w:b w:val="0"/>
        <w:i w:val="0"/>
        <w:sz w:val="24"/>
      </w:rPr>
    </w:lvl>
    <w:lvl w:ilvl="1">
      <w:start w:val="1"/>
      <w:numFmt w:val="decimal"/>
      <w:pStyle w:val="Sous-paragraphe"/>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84346522">
    <w:abstractNumId w:val="18"/>
  </w:num>
  <w:num w:numId="2" w16cid:durableId="892890111">
    <w:abstractNumId w:val="18"/>
  </w:num>
  <w:num w:numId="3" w16cid:durableId="893468622">
    <w:abstractNumId w:val="18"/>
  </w:num>
  <w:num w:numId="4" w16cid:durableId="1072655327">
    <w:abstractNumId w:val="8"/>
  </w:num>
  <w:num w:numId="5" w16cid:durableId="753086366">
    <w:abstractNumId w:val="3"/>
  </w:num>
  <w:num w:numId="6" w16cid:durableId="698509422">
    <w:abstractNumId w:val="2"/>
  </w:num>
  <w:num w:numId="7" w16cid:durableId="1502505723">
    <w:abstractNumId w:val="1"/>
  </w:num>
  <w:num w:numId="8" w16cid:durableId="102464364">
    <w:abstractNumId w:val="0"/>
  </w:num>
  <w:num w:numId="9" w16cid:durableId="226887456">
    <w:abstractNumId w:val="9"/>
  </w:num>
  <w:num w:numId="10" w16cid:durableId="2047557784">
    <w:abstractNumId w:val="7"/>
  </w:num>
  <w:num w:numId="11" w16cid:durableId="684938354">
    <w:abstractNumId w:val="6"/>
  </w:num>
  <w:num w:numId="12" w16cid:durableId="202983103">
    <w:abstractNumId w:val="5"/>
  </w:num>
  <w:num w:numId="13" w16cid:durableId="476337779">
    <w:abstractNumId w:val="4"/>
  </w:num>
  <w:num w:numId="14" w16cid:durableId="1537355178">
    <w:abstractNumId w:val="10"/>
  </w:num>
  <w:num w:numId="15" w16cid:durableId="1730302173">
    <w:abstractNumId w:val="13"/>
  </w:num>
  <w:num w:numId="16" w16cid:durableId="2093429572">
    <w:abstractNumId w:val="11"/>
  </w:num>
  <w:num w:numId="17" w16cid:durableId="16682480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7865391">
    <w:abstractNumId w:val="16"/>
  </w:num>
  <w:num w:numId="19" w16cid:durableId="1346058798">
    <w:abstractNumId w:val="15"/>
  </w:num>
  <w:num w:numId="20" w16cid:durableId="1710032963">
    <w:abstractNumId w:val="17"/>
  </w:num>
  <w:num w:numId="21" w16cid:durableId="1094546169">
    <w:abstractNumId w:val="17"/>
  </w:num>
  <w:num w:numId="22" w16cid:durableId="1907764308">
    <w:abstractNumId w:val="17"/>
  </w:num>
  <w:num w:numId="23" w16cid:durableId="1719011492">
    <w:abstractNumId w:val="17"/>
  </w:num>
  <w:num w:numId="24" w16cid:durableId="665520150">
    <w:abstractNumId w:val="17"/>
  </w:num>
  <w:num w:numId="25" w16cid:durableId="852643597">
    <w:abstractNumId w:val="18"/>
  </w:num>
  <w:num w:numId="26" w16cid:durableId="1984237328">
    <w:abstractNumId w:val="18"/>
  </w:num>
  <w:num w:numId="27" w16cid:durableId="161818843">
    <w:abstractNumId w:val="18"/>
  </w:num>
  <w:num w:numId="28" w16cid:durableId="2045786926">
    <w:abstractNumId w:val="18"/>
  </w:num>
  <w:num w:numId="29" w16cid:durableId="538788502">
    <w:abstractNumId w:val="18"/>
  </w:num>
  <w:num w:numId="30" w16cid:durableId="1756783976">
    <w:abstractNumId w:val="17"/>
  </w:num>
  <w:num w:numId="31" w16cid:durableId="287395391">
    <w:abstractNumId w:val="17"/>
  </w:num>
  <w:num w:numId="32" w16cid:durableId="1282421028">
    <w:abstractNumId w:val="18"/>
  </w:num>
  <w:num w:numId="33" w16cid:durableId="1907301350">
    <w:abstractNumId w:val="18"/>
  </w:num>
  <w:num w:numId="34" w16cid:durableId="907883351">
    <w:abstractNumId w:val="11"/>
  </w:num>
  <w:num w:numId="35" w16cid:durableId="1972713289">
    <w:abstractNumId w:val="12"/>
  </w:num>
  <w:num w:numId="36" w16cid:durableId="6088993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31"/>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8F"/>
    <w:rsid w:val="00007687"/>
    <w:rsid w:val="00015D5D"/>
    <w:rsid w:val="00020EAA"/>
    <w:rsid w:val="00026C30"/>
    <w:rsid w:val="000870DE"/>
    <w:rsid w:val="000A3312"/>
    <w:rsid w:val="000E1738"/>
    <w:rsid w:val="000E5177"/>
    <w:rsid w:val="000F0094"/>
    <w:rsid w:val="000F378F"/>
    <w:rsid w:val="000F7B08"/>
    <w:rsid w:val="00121A72"/>
    <w:rsid w:val="00121AEE"/>
    <w:rsid w:val="00130F7A"/>
    <w:rsid w:val="00134127"/>
    <w:rsid w:val="00134C46"/>
    <w:rsid w:val="00136AE9"/>
    <w:rsid w:val="001666CB"/>
    <w:rsid w:val="001669E4"/>
    <w:rsid w:val="00186E4E"/>
    <w:rsid w:val="00191CEB"/>
    <w:rsid w:val="001A1C62"/>
    <w:rsid w:val="001B0D00"/>
    <w:rsid w:val="001B0DA6"/>
    <w:rsid w:val="001C087C"/>
    <w:rsid w:val="001D3DB4"/>
    <w:rsid w:val="001D5F69"/>
    <w:rsid w:val="001F446B"/>
    <w:rsid w:val="00213441"/>
    <w:rsid w:val="00226EF5"/>
    <w:rsid w:val="00237208"/>
    <w:rsid w:val="002528CF"/>
    <w:rsid w:val="0028092F"/>
    <w:rsid w:val="00296C5C"/>
    <w:rsid w:val="002A7B92"/>
    <w:rsid w:val="002B272E"/>
    <w:rsid w:val="002B78CB"/>
    <w:rsid w:val="002C5CE6"/>
    <w:rsid w:val="002E4810"/>
    <w:rsid w:val="002F3D0B"/>
    <w:rsid w:val="002F7163"/>
    <w:rsid w:val="00302045"/>
    <w:rsid w:val="00303595"/>
    <w:rsid w:val="00307F1B"/>
    <w:rsid w:val="00334F4C"/>
    <w:rsid w:val="00335729"/>
    <w:rsid w:val="0033701E"/>
    <w:rsid w:val="00360DD2"/>
    <w:rsid w:val="00361F5D"/>
    <w:rsid w:val="0039453E"/>
    <w:rsid w:val="003A2463"/>
    <w:rsid w:val="003A6D28"/>
    <w:rsid w:val="003B3B95"/>
    <w:rsid w:val="003B518D"/>
    <w:rsid w:val="003F5316"/>
    <w:rsid w:val="003F53CF"/>
    <w:rsid w:val="00404506"/>
    <w:rsid w:val="00420452"/>
    <w:rsid w:val="0048302B"/>
    <w:rsid w:val="00492022"/>
    <w:rsid w:val="004B5A9D"/>
    <w:rsid w:val="004C37AB"/>
    <w:rsid w:val="004C384A"/>
    <w:rsid w:val="004C62F1"/>
    <w:rsid w:val="004E61AF"/>
    <w:rsid w:val="004F6927"/>
    <w:rsid w:val="00501C16"/>
    <w:rsid w:val="00544666"/>
    <w:rsid w:val="0054543F"/>
    <w:rsid w:val="00546C40"/>
    <w:rsid w:val="005519AE"/>
    <w:rsid w:val="00561431"/>
    <w:rsid w:val="0056671F"/>
    <w:rsid w:val="0057140C"/>
    <w:rsid w:val="0057542B"/>
    <w:rsid w:val="00585997"/>
    <w:rsid w:val="005951C8"/>
    <w:rsid w:val="005D31F7"/>
    <w:rsid w:val="005E01A3"/>
    <w:rsid w:val="005E6858"/>
    <w:rsid w:val="005F39A6"/>
    <w:rsid w:val="005F42A4"/>
    <w:rsid w:val="00606E40"/>
    <w:rsid w:val="0062388C"/>
    <w:rsid w:val="00633B6C"/>
    <w:rsid w:val="00646543"/>
    <w:rsid w:val="0066117D"/>
    <w:rsid w:val="006943BB"/>
    <w:rsid w:val="00696F61"/>
    <w:rsid w:val="006A4DEF"/>
    <w:rsid w:val="006B7AA9"/>
    <w:rsid w:val="006C77B9"/>
    <w:rsid w:val="006D0AC2"/>
    <w:rsid w:val="006D4F4A"/>
    <w:rsid w:val="00727F76"/>
    <w:rsid w:val="00772542"/>
    <w:rsid w:val="00786E23"/>
    <w:rsid w:val="007B5290"/>
    <w:rsid w:val="007F7BA1"/>
    <w:rsid w:val="008034D9"/>
    <w:rsid w:val="00815F9B"/>
    <w:rsid w:val="0082174A"/>
    <w:rsid w:val="00830545"/>
    <w:rsid w:val="008409A5"/>
    <w:rsid w:val="0085062A"/>
    <w:rsid w:val="00861EB7"/>
    <w:rsid w:val="0089473B"/>
    <w:rsid w:val="008A1A08"/>
    <w:rsid w:val="008A4532"/>
    <w:rsid w:val="008A5221"/>
    <w:rsid w:val="008A7DDE"/>
    <w:rsid w:val="008C0847"/>
    <w:rsid w:val="008F0962"/>
    <w:rsid w:val="008F489A"/>
    <w:rsid w:val="00914107"/>
    <w:rsid w:val="009163EC"/>
    <w:rsid w:val="00917D8C"/>
    <w:rsid w:val="00927C25"/>
    <w:rsid w:val="0093536B"/>
    <w:rsid w:val="00940E01"/>
    <w:rsid w:val="009425D6"/>
    <w:rsid w:val="009426D3"/>
    <w:rsid w:val="009573FD"/>
    <w:rsid w:val="00957603"/>
    <w:rsid w:val="00963718"/>
    <w:rsid w:val="00964D47"/>
    <w:rsid w:val="00986BB2"/>
    <w:rsid w:val="009907B7"/>
    <w:rsid w:val="00992D23"/>
    <w:rsid w:val="009A7894"/>
    <w:rsid w:val="009B6D49"/>
    <w:rsid w:val="009B7B4E"/>
    <w:rsid w:val="009C15A8"/>
    <w:rsid w:val="009D7BF3"/>
    <w:rsid w:val="009E685A"/>
    <w:rsid w:val="009E7E11"/>
    <w:rsid w:val="00A11483"/>
    <w:rsid w:val="00A3455B"/>
    <w:rsid w:val="00A40F40"/>
    <w:rsid w:val="00A47F66"/>
    <w:rsid w:val="00A67D56"/>
    <w:rsid w:val="00A819FB"/>
    <w:rsid w:val="00AA3AFD"/>
    <w:rsid w:val="00AB5EB8"/>
    <w:rsid w:val="00AE79EC"/>
    <w:rsid w:val="00AF1575"/>
    <w:rsid w:val="00AF1616"/>
    <w:rsid w:val="00AF5E83"/>
    <w:rsid w:val="00B0141B"/>
    <w:rsid w:val="00B304B8"/>
    <w:rsid w:val="00B4717E"/>
    <w:rsid w:val="00B54C69"/>
    <w:rsid w:val="00B828F8"/>
    <w:rsid w:val="00B85A3E"/>
    <w:rsid w:val="00BA153A"/>
    <w:rsid w:val="00BB0FDF"/>
    <w:rsid w:val="00BB35D3"/>
    <w:rsid w:val="00BF1692"/>
    <w:rsid w:val="00C025FC"/>
    <w:rsid w:val="00C14E50"/>
    <w:rsid w:val="00C228B9"/>
    <w:rsid w:val="00C37427"/>
    <w:rsid w:val="00C450A6"/>
    <w:rsid w:val="00C5355B"/>
    <w:rsid w:val="00C73DA8"/>
    <w:rsid w:val="00C9156F"/>
    <w:rsid w:val="00CC4FC7"/>
    <w:rsid w:val="00CC5756"/>
    <w:rsid w:val="00CE1CAF"/>
    <w:rsid w:val="00CE5A4C"/>
    <w:rsid w:val="00CF123F"/>
    <w:rsid w:val="00CF51ED"/>
    <w:rsid w:val="00D0149D"/>
    <w:rsid w:val="00D12D92"/>
    <w:rsid w:val="00D1379A"/>
    <w:rsid w:val="00D17873"/>
    <w:rsid w:val="00D22592"/>
    <w:rsid w:val="00D26929"/>
    <w:rsid w:val="00D4079E"/>
    <w:rsid w:val="00D47A26"/>
    <w:rsid w:val="00D5149B"/>
    <w:rsid w:val="00D51A11"/>
    <w:rsid w:val="00D51B43"/>
    <w:rsid w:val="00D5419C"/>
    <w:rsid w:val="00D63C26"/>
    <w:rsid w:val="00D713AF"/>
    <w:rsid w:val="00D82F8D"/>
    <w:rsid w:val="00D8331A"/>
    <w:rsid w:val="00D853BA"/>
    <w:rsid w:val="00DE0415"/>
    <w:rsid w:val="00DF1186"/>
    <w:rsid w:val="00E16146"/>
    <w:rsid w:val="00E178D8"/>
    <w:rsid w:val="00E26E4A"/>
    <w:rsid w:val="00E45BC6"/>
    <w:rsid w:val="00E608ED"/>
    <w:rsid w:val="00E62299"/>
    <w:rsid w:val="00E64433"/>
    <w:rsid w:val="00E852E4"/>
    <w:rsid w:val="00EB0915"/>
    <w:rsid w:val="00EB30CC"/>
    <w:rsid w:val="00EB4377"/>
    <w:rsid w:val="00EC4868"/>
    <w:rsid w:val="00EC705F"/>
    <w:rsid w:val="00ED1F88"/>
    <w:rsid w:val="00EE688B"/>
    <w:rsid w:val="00F1055D"/>
    <w:rsid w:val="00F17DAA"/>
    <w:rsid w:val="00F23C83"/>
    <w:rsid w:val="00F26597"/>
    <w:rsid w:val="00F32A04"/>
    <w:rsid w:val="00F379DC"/>
    <w:rsid w:val="00F41227"/>
    <w:rsid w:val="00F4770B"/>
    <w:rsid w:val="00F70B02"/>
    <w:rsid w:val="00F763CB"/>
    <w:rsid w:val="00F84622"/>
    <w:rsid w:val="00FB0C26"/>
    <w:rsid w:val="00FC29A9"/>
    <w:rsid w:val="00FC5E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4624A"/>
  <w15:chartTrackingRefBased/>
  <w15:docId w15:val="{E729AC5C-254C-41C9-8ECE-0FB48F9C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fr-FR"/>
    </w:rPr>
  </w:style>
  <w:style w:type="paragraph" w:styleId="Titre1">
    <w:name w:val="heading 1"/>
    <w:basedOn w:val="Normal"/>
    <w:next w:val="Paragrdouble"/>
    <w:qFormat/>
    <w:rsid w:val="00D12D92"/>
    <w:pPr>
      <w:keepNext/>
      <w:spacing w:before="240" w:after="60"/>
      <w:ind w:left="432" w:hanging="432"/>
      <w:outlineLvl w:val="0"/>
    </w:pPr>
    <w:rPr>
      <w:b/>
      <w:kern w:val="28"/>
      <w:u w:val="single"/>
    </w:rPr>
  </w:style>
  <w:style w:type="paragraph" w:styleId="Titre2">
    <w:name w:val="heading 2"/>
    <w:basedOn w:val="Normal"/>
    <w:next w:val="Paragrdouble"/>
    <w:qFormat/>
    <w:rsid w:val="00BA153A"/>
    <w:pPr>
      <w:keepNext/>
      <w:numPr>
        <w:numId w:val="16"/>
      </w:numPr>
      <w:spacing w:before="240" w:after="60"/>
      <w:ind w:left="709" w:hanging="709"/>
      <w:outlineLvl w:val="1"/>
    </w:pPr>
    <w:rPr>
      <w:b/>
      <w:caps/>
      <w:u w:val="single"/>
    </w:rPr>
  </w:style>
  <w:style w:type="paragraph" w:styleId="Titre3">
    <w:name w:val="heading 3"/>
    <w:basedOn w:val="Normal"/>
    <w:next w:val="Paragrdouble"/>
    <w:qFormat/>
    <w:rsid w:val="00AF1575"/>
    <w:pPr>
      <w:keepNext/>
      <w:numPr>
        <w:ilvl w:val="1"/>
        <w:numId w:val="16"/>
      </w:numPr>
      <w:spacing w:before="240" w:after="60"/>
      <w:ind w:left="1162"/>
      <w:outlineLvl w:val="2"/>
    </w:pPr>
    <w:rPr>
      <w:b/>
    </w:rPr>
  </w:style>
  <w:style w:type="paragraph" w:styleId="Titre4">
    <w:name w:val="heading 4"/>
    <w:basedOn w:val="Normal"/>
    <w:next w:val="Paragrdouble"/>
    <w:qFormat/>
    <w:rsid w:val="00AF1575"/>
    <w:pPr>
      <w:keepNext/>
      <w:numPr>
        <w:ilvl w:val="2"/>
        <w:numId w:val="16"/>
      </w:numPr>
      <w:spacing w:before="240" w:after="60"/>
      <w:ind w:left="1985" w:hanging="851"/>
      <w:outlineLvl w:val="3"/>
    </w:pPr>
    <w:rPr>
      <w:b/>
    </w:rPr>
  </w:style>
  <w:style w:type="paragraph" w:styleId="Titre5">
    <w:name w:val="heading 5"/>
    <w:basedOn w:val="Titre4"/>
    <w:next w:val="Paragrdouble"/>
    <w:qFormat/>
    <w:rsid w:val="001B0DA6"/>
    <w:pPr>
      <w:numPr>
        <w:ilvl w:val="3"/>
      </w:numPr>
      <w:ind w:left="2495" w:hanging="1077"/>
      <w:outlineLvl w:val="4"/>
    </w:pPr>
  </w:style>
  <w:style w:type="paragraph" w:styleId="Titre6">
    <w:name w:val="heading 6"/>
    <w:basedOn w:val="Titre5"/>
    <w:next w:val="Paragrdouble"/>
    <w:qFormat/>
    <w:rsid w:val="00C025FC"/>
    <w:pPr>
      <w:numPr>
        <w:ilvl w:val="4"/>
      </w:numPr>
      <w:ind w:left="3657" w:hanging="1247"/>
      <w:outlineLvl w:val="5"/>
    </w:pPr>
  </w:style>
  <w:style w:type="paragraph" w:styleId="Titre7">
    <w:name w:val="heading 7"/>
    <w:basedOn w:val="Normal"/>
    <w:next w:val="Normal"/>
    <w:qFormat/>
    <w:pPr>
      <w:numPr>
        <w:ilvl w:val="6"/>
        <w:numId w:val="15"/>
      </w:numPr>
      <w:spacing w:before="240" w:after="60"/>
      <w:outlineLvl w:val="6"/>
    </w:pPr>
    <w:rPr>
      <w:sz w:val="20"/>
    </w:rPr>
  </w:style>
  <w:style w:type="paragraph" w:styleId="Titre8">
    <w:name w:val="heading 8"/>
    <w:basedOn w:val="Normal"/>
    <w:next w:val="Normal"/>
    <w:qFormat/>
    <w:pPr>
      <w:numPr>
        <w:ilvl w:val="7"/>
        <w:numId w:val="15"/>
      </w:numPr>
      <w:spacing w:before="240" w:after="60"/>
      <w:outlineLvl w:val="7"/>
    </w:pPr>
    <w:rPr>
      <w:i/>
      <w:sz w:val="20"/>
    </w:rPr>
  </w:style>
  <w:style w:type="paragraph" w:styleId="Titre9">
    <w:name w:val="heading 9"/>
    <w:basedOn w:val="Normal"/>
    <w:next w:val="Normal"/>
    <w:qFormat/>
    <w:pPr>
      <w:numPr>
        <w:ilvl w:val="8"/>
        <w:numId w:val="15"/>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double">
    <w:name w:val="Paragr. double"/>
    <w:basedOn w:val="Normal"/>
    <w:rsid w:val="00AF1575"/>
    <w:pPr>
      <w:numPr>
        <w:numId w:val="2"/>
      </w:numPr>
      <w:tabs>
        <w:tab w:val="clear" w:pos="360"/>
      </w:tabs>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basedOn w:val="Normal"/>
    <w:link w:val="NotedebasdepageCar"/>
    <w:uiPriority w:val="99"/>
    <w:pPr>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jc w:val="center"/>
    </w:pPr>
    <w:rPr>
      <w:b/>
      <w:sz w:val="36"/>
    </w:rPr>
  </w:style>
  <w:style w:type="paragraph" w:customStyle="1" w:styleId="zSoquijlblPays">
    <w:name w:val="zSoquij_lblPays"/>
    <w:basedOn w:val="Normal"/>
    <w:rsid w:val="00C025FC"/>
    <w:rPr>
      <w:caps/>
    </w:rPr>
  </w:style>
  <w:style w:type="paragraph" w:customStyle="1" w:styleId="zSoquijlblProvince">
    <w:name w:val="zSoquij_lblProvince"/>
    <w:basedOn w:val="Normal"/>
    <w:rsid w:val="00C025FC"/>
    <w:rPr>
      <w:caps/>
    </w:rPr>
  </w:style>
  <w:style w:type="paragraph" w:customStyle="1" w:styleId="zSoquijlblGreffe">
    <w:name w:val="zSoquij_lblGreffe"/>
    <w:basedOn w:val="Normal"/>
    <w:rsid w:val="00C025FC"/>
    <w:pPr>
      <w:ind w:left="70"/>
    </w:pPr>
    <w:rPr>
      <w:caps/>
    </w:rPr>
  </w:style>
  <w:style w:type="paragraph" w:customStyle="1" w:styleId="zSoquijdatGreffe">
    <w:name w:val="zSoquij_datGreffe"/>
    <w:basedOn w:val="Normal"/>
    <w:rsid w:val="00C025FC"/>
    <w:pPr>
      <w:ind w:left="29"/>
    </w:pPr>
    <w:rPr>
      <w:caps/>
    </w:r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sid w:val="00C025FC"/>
    <w:pPr>
      <w:ind w:left="70"/>
    </w:pPr>
    <w:rPr>
      <w:b/>
      <w:caps/>
    </w:rPr>
  </w:style>
  <w:style w:type="paragraph" w:customStyle="1" w:styleId="zSoquijdatQteJuge">
    <w:name w:val="zSoquij_datQteJuge"/>
    <w:basedOn w:val="Normal"/>
    <w:rsid w:val="00C025FC"/>
    <w:pPr>
      <w:ind w:left="29"/>
    </w:pPr>
    <w:rPr>
      <w:b/>
      <w:caps/>
    </w:rPr>
  </w:style>
  <w:style w:type="paragraph" w:customStyle="1" w:styleId="zSoquijdatJuge">
    <w:name w:val="zSoquij_datJuge"/>
    <w:basedOn w:val="Normal"/>
    <w:rsid w:val="00BA153A"/>
    <w:pPr>
      <w:ind w:left="52"/>
    </w:pPr>
    <w:rPr>
      <w:b/>
      <w:caps/>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rsid w:val="00C025FC"/>
    <w:pPr>
      <w:jc w:val="center"/>
    </w:pPr>
    <w:rPr>
      <w:caps/>
    </w:r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tabs>
        <w:tab w:val="left" w:pos="720"/>
      </w:tabs>
      <w:jc w:val="center"/>
    </w:pPr>
  </w:style>
  <w:style w:type="character" w:customStyle="1" w:styleId="zSoquijlblEntNoDossier">
    <w:name w:val="zSoquij_lblEntNoDossier"/>
    <w:rPr>
      <w:lang w:val="fr-CA"/>
    </w:rPr>
  </w:style>
  <w:style w:type="paragraph" w:customStyle="1" w:styleId="zSoquijlblTitrePartie">
    <w:name w:val="zSoquij_lblTitrePartie"/>
    <w:basedOn w:val="Normal"/>
  </w:style>
  <w:style w:type="paragraph" w:customStyle="1" w:styleId="zSoquijdatSignature3Juge">
    <w:name w:val="zSoquij_datSignature3Juge"/>
    <w:basedOn w:val="Normal"/>
  </w:style>
  <w:style w:type="paragraph" w:customStyle="1" w:styleId="ParagNonNum">
    <w:name w:val="ParagNonNum"/>
    <w:basedOn w:val="Paragrdouble"/>
    <w:pPr>
      <w:numPr>
        <w:numId w:val="0"/>
      </w:numPr>
      <w:ind w:firstLine="734"/>
    </w:pPr>
  </w:style>
  <w:style w:type="paragraph" w:customStyle="1" w:styleId="zSoquijdatIdJuge">
    <w:name w:val="zSoquij_datIdJuge"/>
    <w:basedOn w:val="Normal"/>
    <w:pPr>
      <w:jc w:val="center"/>
    </w:pPr>
    <w:rPr>
      <w:sz w:val="20"/>
    </w:rPr>
  </w:style>
  <w:style w:type="paragraph" w:customStyle="1" w:styleId="Sous-paragraphe">
    <w:name w:val="Sous-paragraphe"/>
    <w:basedOn w:val="Normal"/>
    <w:rsid w:val="00CF51ED"/>
    <w:pPr>
      <w:widowControl w:val="0"/>
      <w:numPr>
        <w:ilvl w:val="1"/>
        <w:numId w:val="3"/>
      </w:numPr>
      <w:spacing w:before="120" w:after="120"/>
      <w:ind w:left="1462" w:hanging="731"/>
      <w:jc w:val="both"/>
    </w:pPr>
    <w:rPr>
      <w:kern w:val="28"/>
    </w:rPr>
  </w:style>
  <w:style w:type="paragraph" w:customStyle="1" w:styleId="zSoquijdatNomProcureurDem">
    <w:name w:val="zSoquij_datNomProcureurDem"/>
    <w:basedOn w:val="zSoquijlblProcureurDem"/>
  </w:style>
  <w:style w:type="paragraph" w:customStyle="1" w:styleId="zSoquijdatNomProcureurDef">
    <w:name w:val="zSoquij_datNomProcureurDef"/>
    <w:basedOn w:val="zSoquijlblProcureurDef"/>
  </w:style>
  <w:style w:type="paragraph" w:customStyle="1" w:styleId="zSoquijdatCabinetProcureurDem">
    <w:name w:val="zSoquij_datCabinetProcureurDem"/>
    <w:basedOn w:val="Normal"/>
  </w:style>
  <w:style w:type="paragraph" w:customStyle="1" w:styleId="zSoquijdatCabinetProcureurDef">
    <w:name w:val="zSoquij_datCabinetProcureurDef"/>
    <w:basedOn w:val="zSoquijlblProcureurDef"/>
  </w:style>
  <w:style w:type="paragraph" w:customStyle="1" w:styleId="zSoquijdatSignatureJuge1">
    <w:name w:val="zSoquij_datSignatureJuge1"/>
    <w:basedOn w:val="Normal"/>
  </w:style>
  <w:style w:type="paragraph" w:customStyle="1" w:styleId="zSoquijdatSignatureJuge2">
    <w:name w:val="zSoquij_datSignatureJuge2"/>
    <w:basedOn w:val="Normal"/>
  </w:style>
  <w:style w:type="paragraph" w:customStyle="1" w:styleId="zSoquijdatSignatureJuge3">
    <w:name w:val="zSoquij_datSignatureJuge3"/>
    <w:basedOn w:val="Normal"/>
  </w:style>
  <w:style w:type="paragraph" w:customStyle="1" w:styleId="zSoquijdatRepertorie">
    <w:name w:val="zSoquij_datRepertorie"/>
    <w:basedOn w:val="zSoquijlblCour"/>
    <w:pPr>
      <w:jc w:val="left"/>
    </w:pPr>
    <w:rPr>
      <w:noProof/>
      <w:sz w:val="22"/>
    </w:rPr>
  </w:style>
  <w:style w:type="paragraph" w:customStyle="1" w:styleId="zSoquijdatRefNeutre">
    <w:name w:val="zSoquij_datRefNeutre"/>
    <w:basedOn w:val="zSoquijlblCour"/>
    <w:pPr>
      <w:jc w:val="left"/>
    </w:pPr>
    <w:rPr>
      <w:noProof/>
      <w:sz w:val="22"/>
    </w:rPr>
  </w:style>
  <w:style w:type="paragraph" w:customStyle="1" w:styleId="zSoquijdatSignature2Juge">
    <w:name w:val="zSoquij_datSignature2Juge"/>
    <w:basedOn w:val="zSoquijdatSignatureJuge3"/>
  </w:style>
  <w:style w:type="paragraph" w:customStyle="1" w:styleId="ParagAlaMarge">
    <w:name w:val="ParagAlaMarge"/>
    <w:basedOn w:val="ParagNonNum"/>
    <w:next w:val="Paragrdouble"/>
    <w:rsid w:val="00CF51ED"/>
    <w:pPr>
      <w:ind w:firstLine="0"/>
    </w:pPr>
  </w:style>
  <w:style w:type="paragraph" w:customStyle="1" w:styleId="zSoquijlblAssesseurs">
    <w:name w:val="zSoquij_lblAssesseurs"/>
    <w:basedOn w:val="Normal"/>
    <w:pPr>
      <w:ind w:left="14" w:right="-67"/>
    </w:pPr>
  </w:style>
  <w:style w:type="paragraph" w:customStyle="1" w:styleId="zSoquijdatAssesseurs">
    <w:name w:val="zSoquij_datAssesseurs"/>
    <w:basedOn w:val="Normal"/>
    <w:pPr>
      <w:ind w:left="14" w:right="-67"/>
    </w:pPr>
  </w:style>
  <w:style w:type="paragraph" w:customStyle="1" w:styleId="zSoquijlblLocalite">
    <w:name w:val="zSoquij_lblLocalite"/>
    <w:basedOn w:val="zSoquijlblGreffe"/>
  </w:style>
  <w:style w:type="paragraph" w:customStyle="1" w:styleId="zSoquijdatLocalite">
    <w:name w:val="zSoquij_datLocalite"/>
    <w:basedOn w:val="zSoquijdatGreffe"/>
  </w:style>
  <w:style w:type="numbering" w:customStyle="1" w:styleId="Style1">
    <w:name w:val="Style1"/>
    <w:uiPriority w:val="99"/>
    <w:rsid w:val="00CE1CAF"/>
    <w:pPr>
      <w:numPr>
        <w:numId w:val="16"/>
      </w:numPr>
    </w:pPr>
  </w:style>
  <w:style w:type="paragraph" w:customStyle="1" w:styleId="Paragrsimple">
    <w:name w:val="Paragr. simple"/>
    <w:basedOn w:val="Paragrdouble"/>
    <w:qFormat/>
    <w:rsid w:val="00BA153A"/>
    <w:pPr>
      <w:spacing w:line="240" w:lineRule="auto"/>
    </w:pPr>
  </w:style>
  <w:style w:type="paragraph" w:styleId="En-ttedetabledesmatires">
    <w:name w:val="TOC Heading"/>
    <w:basedOn w:val="Titre1"/>
    <w:next w:val="Normal"/>
    <w:uiPriority w:val="39"/>
    <w:qFormat/>
    <w:rsid w:val="00BA153A"/>
    <w:pPr>
      <w:keepLines/>
      <w:spacing w:before="480" w:after="0" w:line="276" w:lineRule="auto"/>
      <w:ind w:left="0" w:firstLine="0"/>
      <w:outlineLvl w:val="9"/>
    </w:pPr>
    <w:rPr>
      <w:rFonts w:ascii="Cambria" w:hAnsi="Cambria"/>
      <w:bCs/>
      <w:color w:val="365F91"/>
      <w:kern w:val="0"/>
      <w:sz w:val="28"/>
      <w:szCs w:val="28"/>
      <w:u w:val="none"/>
      <w:lang w:eastAsia="fr-CA"/>
    </w:rPr>
  </w:style>
  <w:style w:type="paragraph" w:styleId="TM1">
    <w:name w:val="toc 1"/>
    <w:basedOn w:val="Normal"/>
    <w:next w:val="Normal"/>
    <w:autoRedefine/>
    <w:uiPriority w:val="39"/>
    <w:unhideWhenUsed/>
    <w:rsid w:val="00BA153A"/>
  </w:style>
  <w:style w:type="paragraph" w:styleId="TM2">
    <w:name w:val="toc 2"/>
    <w:basedOn w:val="Normal"/>
    <w:next w:val="Normal"/>
    <w:autoRedefine/>
    <w:uiPriority w:val="39"/>
    <w:unhideWhenUsed/>
    <w:rsid w:val="00BA153A"/>
    <w:pPr>
      <w:ind w:left="240"/>
    </w:pPr>
  </w:style>
  <w:style w:type="paragraph" w:styleId="TM3">
    <w:name w:val="toc 3"/>
    <w:basedOn w:val="Normal"/>
    <w:next w:val="Normal"/>
    <w:autoRedefine/>
    <w:uiPriority w:val="39"/>
    <w:unhideWhenUsed/>
    <w:rsid w:val="00BA153A"/>
    <w:pPr>
      <w:ind w:left="480"/>
    </w:pPr>
  </w:style>
  <w:style w:type="character" w:styleId="Hyperlien">
    <w:name w:val="Hyperlink"/>
    <w:uiPriority w:val="99"/>
    <w:unhideWhenUsed/>
    <w:rsid w:val="00BA153A"/>
    <w:rPr>
      <w:color w:val="0000FF"/>
      <w:u w:val="single"/>
      <w:lang w:val="fr-CA"/>
    </w:rPr>
  </w:style>
  <w:style w:type="paragraph" w:styleId="Explorateurdedocuments">
    <w:name w:val="Document Map"/>
    <w:basedOn w:val="Normal"/>
    <w:semiHidden/>
    <w:rsid w:val="00007687"/>
    <w:pPr>
      <w:shd w:val="clear" w:color="auto" w:fill="000080"/>
    </w:pPr>
    <w:rPr>
      <w:rFonts w:ascii="Tahoma" w:hAnsi="Tahoma" w:cs="Tahoma"/>
      <w:sz w:val="20"/>
    </w:rPr>
  </w:style>
  <w:style w:type="paragraph" w:styleId="Titre">
    <w:name w:val="Title"/>
    <w:basedOn w:val="Normal"/>
    <w:qFormat/>
    <w:rsid w:val="008A4532"/>
    <w:pPr>
      <w:spacing w:before="240" w:after="60"/>
      <w:jc w:val="center"/>
      <w:outlineLvl w:val="0"/>
    </w:pPr>
    <w:rPr>
      <w:rFonts w:cs="Arial"/>
      <w:b/>
      <w:bCs/>
      <w:kern w:val="28"/>
      <w:sz w:val="32"/>
      <w:szCs w:val="32"/>
    </w:rPr>
  </w:style>
  <w:style w:type="paragraph" w:styleId="Citation">
    <w:name w:val="Quote"/>
    <w:basedOn w:val="Normal"/>
    <w:next w:val="Normal"/>
    <w:link w:val="CitationCar"/>
    <w:uiPriority w:val="29"/>
    <w:qFormat/>
    <w:rsid w:val="00940E01"/>
    <w:pPr>
      <w:spacing w:before="200" w:after="160"/>
      <w:ind w:left="864" w:right="864"/>
      <w:jc w:val="both"/>
    </w:pPr>
    <w:rPr>
      <w:color w:val="404040" w:themeColor="text1" w:themeTint="BF"/>
    </w:rPr>
  </w:style>
  <w:style w:type="character" w:customStyle="1" w:styleId="CitationCar">
    <w:name w:val="Citation Car"/>
    <w:basedOn w:val="Policepardfaut"/>
    <w:link w:val="Citation"/>
    <w:uiPriority w:val="29"/>
    <w:rsid w:val="00940E01"/>
    <w:rPr>
      <w:rFonts w:ascii="Arial" w:hAnsi="Arial"/>
      <w:color w:val="404040" w:themeColor="text1" w:themeTint="BF"/>
      <w:sz w:val="24"/>
      <w:lang w:eastAsia="fr-FR"/>
    </w:rPr>
  </w:style>
  <w:style w:type="character" w:styleId="Appelnotedebasdep">
    <w:name w:val="footnote reference"/>
    <w:basedOn w:val="Policepardfaut"/>
    <w:uiPriority w:val="99"/>
    <w:unhideWhenUsed/>
    <w:rsid w:val="00A11483"/>
    <w:rPr>
      <w:vertAlign w:val="superscript"/>
    </w:rPr>
  </w:style>
  <w:style w:type="character" w:customStyle="1" w:styleId="Mentionnonrsolue1">
    <w:name w:val="Mention non résolue1"/>
    <w:basedOn w:val="Policepardfaut"/>
    <w:uiPriority w:val="99"/>
    <w:semiHidden/>
    <w:unhideWhenUsed/>
    <w:rsid w:val="00A11483"/>
    <w:rPr>
      <w:color w:val="605E5C"/>
      <w:shd w:val="clear" w:color="auto" w:fill="E1DFDD"/>
    </w:rPr>
  </w:style>
  <w:style w:type="paragraph" w:styleId="Paragraphedeliste">
    <w:name w:val="List Paragraph"/>
    <w:basedOn w:val="Normal"/>
    <w:uiPriority w:val="34"/>
    <w:qFormat/>
    <w:rsid w:val="00561431"/>
    <w:pPr>
      <w:ind w:left="720"/>
      <w:contextualSpacing/>
    </w:pPr>
  </w:style>
  <w:style w:type="character" w:styleId="Lienvisit">
    <w:name w:val="FollowedHyperlink"/>
    <w:basedOn w:val="Policepardfaut"/>
    <w:uiPriority w:val="99"/>
    <w:semiHidden/>
    <w:unhideWhenUsed/>
    <w:rsid w:val="00561431"/>
    <w:rPr>
      <w:color w:val="954F72" w:themeColor="followedHyperlink"/>
      <w:u w:val="single"/>
    </w:rPr>
  </w:style>
  <w:style w:type="character" w:customStyle="1" w:styleId="NotedebasdepageCar">
    <w:name w:val="Note de bas de page Car"/>
    <w:basedOn w:val="Policepardfaut"/>
    <w:link w:val="Notedebasdepage"/>
    <w:uiPriority w:val="99"/>
    <w:rsid w:val="009A7894"/>
    <w:rPr>
      <w:rFonts w:ascii="Arial" w:hAnsi="Arial"/>
      <w:lang w:eastAsia="fr-FR"/>
    </w:rPr>
  </w:style>
  <w:style w:type="paragraph" w:customStyle="1" w:styleId="Default">
    <w:name w:val="Default"/>
    <w:rsid w:val="001D3DB4"/>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9907B7"/>
    <w:pPr>
      <w:spacing w:before="100" w:beforeAutospacing="1" w:after="100" w:afterAutospacing="1"/>
    </w:pPr>
    <w:rPr>
      <w:rFonts w:ascii="Times New Roman" w:hAnsi="Times New Roman"/>
      <w:szCs w:val="24"/>
      <w:lang w:val="en-CA" w:eastAsia="en-US"/>
    </w:rPr>
  </w:style>
  <w:style w:type="paragraph" w:customStyle="1" w:styleId="isselectedend">
    <w:name w:val="isselectedend"/>
    <w:basedOn w:val="Normal"/>
    <w:rsid w:val="009B6D49"/>
    <w:pPr>
      <w:spacing w:before="100" w:beforeAutospacing="1" w:after="100" w:afterAutospacing="1"/>
    </w:pPr>
    <w:rPr>
      <w:rFonts w:ascii="Times New Roman" w:hAnsi="Times New Roman"/>
      <w:szCs w:val="24"/>
      <w:lang w:eastAsia="fr-CA"/>
    </w:rPr>
  </w:style>
  <w:style w:type="character" w:customStyle="1" w:styleId="text-token-text-primary">
    <w:name w:val="text-token-text-primary"/>
    <w:basedOn w:val="Policepardfaut"/>
    <w:rsid w:val="009B6D49"/>
  </w:style>
  <w:style w:type="paragraph" w:styleId="Rvision">
    <w:name w:val="Revision"/>
    <w:hidden/>
    <w:uiPriority w:val="99"/>
    <w:semiHidden/>
    <w:rsid w:val="003F53CF"/>
    <w:rPr>
      <w:rFonts w:ascii="Arial" w:hAnsi="Arial"/>
      <w:sz w:val="24"/>
      <w:lang w:eastAsia="fr-FR"/>
    </w:rPr>
  </w:style>
  <w:style w:type="paragraph" w:styleId="En-tte">
    <w:name w:val="header"/>
    <w:basedOn w:val="Normal"/>
    <w:link w:val="En-tteCar"/>
    <w:uiPriority w:val="99"/>
    <w:unhideWhenUsed/>
    <w:rsid w:val="00307F1B"/>
    <w:pPr>
      <w:tabs>
        <w:tab w:val="center" w:pos="4320"/>
        <w:tab w:val="right" w:pos="8640"/>
      </w:tabs>
    </w:pPr>
  </w:style>
  <w:style w:type="character" w:customStyle="1" w:styleId="En-tteCar">
    <w:name w:val="En-tête Car"/>
    <w:basedOn w:val="Policepardfaut"/>
    <w:link w:val="En-tte"/>
    <w:uiPriority w:val="99"/>
    <w:rsid w:val="00307F1B"/>
    <w:rPr>
      <w:rFonts w:ascii="Arial" w:hAnsi="Arial"/>
      <w:sz w:val="24"/>
      <w:lang w:eastAsia="fr-FR"/>
    </w:rPr>
  </w:style>
  <w:style w:type="paragraph" w:styleId="Pieddepage">
    <w:name w:val="footer"/>
    <w:basedOn w:val="Normal"/>
    <w:link w:val="PieddepageCar"/>
    <w:uiPriority w:val="99"/>
    <w:unhideWhenUsed/>
    <w:rsid w:val="00307F1B"/>
    <w:pPr>
      <w:tabs>
        <w:tab w:val="center" w:pos="4320"/>
        <w:tab w:val="right" w:pos="8640"/>
      </w:tabs>
    </w:pPr>
  </w:style>
  <w:style w:type="character" w:customStyle="1" w:styleId="PieddepageCar">
    <w:name w:val="Pied de page Car"/>
    <w:basedOn w:val="Policepardfaut"/>
    <w:link w:val="Pieddepage"/>
    <w:uiPriority w:val="99"/>
    <w:rsid w:val="00307F1B"/>
    <w:rPr>
      <w:rFonts w:ascii="Arial" w:hAnsi="Arial"/>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318432890B74C8D8BC34B5353B372" ma:contentTypeVersion="2" ma:contentTypeDescription="Crée un document." ma:contentTypeScope="" ma:versionID="6e0052a9091211f73c24cc39bc861b60">
  <xsd:schema xmlns:xsd="http://www.w3.org/2001/XMLSchema" xmlns:xs="http://www.w3.org/2001/XMLSchema" xmlns:p="http://schemas.microsoft.com/office/2006/metadata/properties" xmlns:ns1="http://schemas.microsoft.com/sharepoint/v3" xmlns:ns2="ddd9db8a-241d-4149-a0d3-7618663a9260" targetNamespace="http://schemas.microsoft.com/office/2006/metadata/properties" ma:root="true" ma:fieldsID="52b8b4e4f19fd2fbc811c37b64dbca3c" ns1:_="" ns2:_="">
    <xsd:import namespace="http://schemas.microsoft.com/sharepoint/v3"/>
    <xsd:import namespace="ddd9db8a-241d-4149-a0d3-7618663a9260"/>
    <xsd:element name="properties">
      <xsd:complexType>
        <xsd:sequence>
          <xsd:element name="documentManagement">
            <xsd:complexType>
              <xsd:all>
                <xsd:element ref="ns1:PublishingStartDate" minOccurs="0"/>
                <xsd:element ref="ns1:PublishingExpirationDate" minOccurs="0"/>
                <xsd:element ref="ns2:Auteur_x0020_du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internalName="PublishingStartDate">
      <xsd:simpleType>
        <xsd:restriction base="dms:Unknown"/>
      </xsd:simpleType>
    </xsd:element>
    <xsd:element name="PublishingExpirationDate" ma:index="9" nillable="true" ma:displayName="Date de fin de planifica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d9db8a-241d-4149-a0d3-7618663a9260" elementFormDefault="qualified">
    <xsd:import namespace="http://schemas.microsoft.com/office/2006/documentManagement/types"/>
    <xsd:import namespace="http://schemas.microsoft.com/office/infopath/2007/PartnerControls"/>
    <xsd:element name="Auteur_x0020_du_x0020_document" ma:index="10" nillable="true" ma:displayName="Auteur du document" ma:description="Auteur principal" ma:internalName="Auteur_x0020_du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eur_x0020_du_x0020_document xmlns="ddd9db8a-241d-4149-a0d3-7618663a9260"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61CC9-6BA3-4CC4-BED9-A4CE3DBD7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d9db8a-241d-4149-a0d3-7618663a9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B1385-B317-4A73-AB5B-447180BDB870}">
  <ds:schemaRefs>
    <ds:schemaRef ds:uri="http://schemas.microsoft.com/office/2006/metadata/properties"/>
    <ds:schemaRef ds:uri="http://schemas.microsoft.com/office/infopath/2007/PartnerControls"/>
    <ds:schemaRef ds:uri="ddd9db8a-241d-4149-a0d3-7618663a9260"/>
    <ds:schemaRef ds:uri="http://schemas.microsoft.com/sharepoint/v3"/>
  </ds:schemaRefs>
</ds:datastoreItem>
</file>

<file path=customXml/itemProps3.xml><?xml version="1.0" encoding="utf-8"?>
<ds:datastoreItem xmlns:ds="http://schemas.openxmlformats.org/officeDocument/2006/customXml" ds:itemID="{C36D3F2B-15EA-492A-8B48-2CF10FE3B1AB}">
  <ds:schemaRefs>
    <ds:schemaRef ds:uri="http://schemas.microsoft.com/sharepoint/v3/contenttype/forms"/>
  </ds:schemaRefs>
</ds:datastoreItem>
</file>

<file path=customXml/itemProps4.xml><?xml version="1.0" encoding="utf-8"?>
<ds:datastoreItem xmlns:ds="http://schemas.openxmlformats.org/officeDocument/2006/customXml" ds:itemID="{1D35B8E0-CE4C-4CEB-BEE8-887EF75B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5484</Words>
  <Characters>30165</Characters>
  <Application>Microsoft Office Word</Application>
  <DocSecurity>0</DocSecurity>
  <Lines>251</Lines>
  <Paragraphs>71</Paragraphs>
  <ScaleCrop>false</ScaleCrop>
  <Company/>
  <LinksUpToDate>false</LinksUpToDate>
  <CharactersWithSpaces>35578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Deschênes, Gabrielle</cp:lastModifiedBy>
  <cp:revision>6</cp:revision>
  <dcterms:created xsi:type="dcterms:W3CDTF">2026-06-11T05:05:00Z</dcterms:created>
  <dcterms:modified xsi:type="dcterms:W3CDTF">2026-06-11T12:37:00Z</dcterms:modified>
</cp:coreProperties>
</file>