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ayout w:type="fixed"/>
        <w:tblCellMar>
          <w:left w:w="0" w:type="dxa"/>
          <w:right w:w="0" w:type="dxa"/>
        </w:tblCellMar>
        <w:tblLook w:val="0000" w:firstRow="0" w:lastRow="0" w:firstColumn="0" w:lastColumn="0" w:noHBand="0" w:noVBand="0"/>
      </w:tblPr>
      <w:tblGrid>
        <w:gridCol w:w="1030"/>
        <w:gridCol w:w="590"/>
        <w:gridCol w:w="2350"/>
        <w:gridCol w:w="3402"/>
        <w:gridCol w:w="1988"/>
      </w:tblGrid>
      <w:tr w:rsidR="009F1552" w:rsidRPr="009F1552" w14:paraId="04FDAE65" w14:textId="77777777" w:rsidTr="008D18FC">
        <w:trPr>
          <w:trHeight w:val="248"/>
        </w:trPr>
        <w:tc>
          <w:tcPr>
            <w:tcW w:w="7372" w:type="dxa"/>
            <w:gridSpan w:val="4"/>
          </w:tcPr>
          <w:p w14:paraId="644C6B1E" w14:textId="009497FE" w:rsidR="008F364A" w:rsidRPr="00E70521" w:rsidRDefault="00E70521" w:rsidP="00E70521">
            <w:pPr>
              <w:pStyle w:val="zSoquijdatRepertorie"/>
              <w:rPr>
                <w:rFonts w:cs="Arial"/>
              </w:rPr>
            </w:pPr>
            <w:r>
              <w:rPr>
                <w:rFonts w:cs="Arial"/>
              </w:rPr>
              <w:t>Savoie c. R.</w:t>
            </w:r>
          </w:p>
        </w:tc>
        <w:tc>
          <w:tcPr>
            <w:tcW w:w="1988" w:type="dxa"/>
          </w:tcPr>
          <w:p w14:paraId="62B6418D" w14:textId="6477837B" w:rsidR="008F364A" w:rsidRPr="00E43A3C" w:rsidRDefault="00E43A3C" w:rsidP="00E43A3C">
            <w:pPr>
              <w:pStyle w:val="zSoquijdatRefNeutre"/>
              <w:jc w:val="right"/>
              <w:rPr>
                <w:rFonts w:cs="Arial"/>
              </w:rPr>
            </w:pPr>
            <w:r w:rsidRPr="00E43A3C">
              <w:rPr>
                <w:rFonts w:cs="Arial"/>
              </w:rPr>
              <w:t>2026 QCCA 866</w:t>
            </w:r>
          </w:p>
        </w:tc>
      </w:tr>
      <w:tr w:rsidR="009F1552" w:rsidRPr="009F1552" w14:paraId="1C1C04DB" w14:textId="77777777" w:rsidTr="008D18FC">
        <w:trPr>
          <w:trHeight w:val="247"/>
        </w:trPr>
        <w:tc>
          <w:tcPr>
            <w:tcW w:w="9360" w:type="dxa"/>
            <w:gridSpan w:val="5"/>
          </w:tcPr>
          <w:p w14:paraId="131808F3" w14:textId="77777777" w:rsidR="008F364A" w:rsidRPr="009F1552" w:rsidRDefault="00740A17">
            <w:pPr>
              <w:pStyle w:val="zSoquijlblCour"/>
            </w:pPr>
            <w:r w:rsidRPr="009F1552">
              <w:t>COUR D’APPEL</w:t>
            </w:r>
          </w:p>
        </w:tc>
      </w:tr>
      <w:tr w:rsidR="009F1552" w:rsidRPr="009F1552" w14:paraId="7CC697B8" w14:textId="77777777" w:rsidTr="008D18FC">
        <w:trPr>
          <w:trHeight w:val="540"/>
        </w:trPr>
        <w:tc>
          <w:tcPr>
            <w:tcW w:w="9360" w:type="dxa"/>
            <w:gridSpan w:val="5"/>
          </w:tcPr>
          <w:p w14:paraId="79F31055" w14:textId="77777777" w:rsidR="008F364A" w:rsidRPr="009F1552" w:rsidRDefault="008F364A">
            <w:pPr>
              <w:pStyle w:val="zSoquijdatDivision"/>
            </w:pPr>
          </w:p>
        </w:tc>
      </w:tr>
      <w:tr w:rsidR="009F1552" w:rsidRPr="009F1552" w14:paraId="3A9E6FC8" w14:textId="77777777" w:rsidTr="008D18FC">
        <w:tc>
          <w:tcPr>
            <w:tcW w:w="9360" w:type="dxa"/>
            <w:gridSpan w:val="5"/>
          </w:tcPr>
          <w:p w14:paraId="69B75E02" w14:textId="77777777" w:rsidR="008F364A" w:rsidRPr="009F1552" w:rsidRDefault="00740A17">
            <w:pPr>
              <w:pStyle w:val="zSoquijlblPays"/>
            </w:pPr>
            <w:r w:rsidRPr="009F1552">
              <w:t>CANADA</w:t>
            </w:r>
          </w:p>
        </w:tc>
      </w:tr>
      <w:tr w:rsidR="009F1552" w:rsidRPr="009F1552" w14:paraId="251B2056" w14:textId="77777777" w:rsidTr="008D18FC">
        <w:tc>
          <w:tcPr>
            <w:tcW w:w="9360" w:type="dxa"/>
            <w:gridSpan w:val="5"/>
          </w:tcPr>
          <w:p w14:paraId="6B332B90" w14:textId="77777777" w:rsidR="008F364A" w:rsidRPr="009F1552" w:rsidRDefault="00740A17">
            <w:pPr>
              <w:pStyle w:val="zSoquijlblProvince"/>
            </w:pPr>
            <w:r w:rsidRPr="009F1552">
              <w:t>PROVINCE DE QUÉBEC</w:t>
            </w:r>
          </w:p>
        </w:tc>
      </w:tr>
      <w:tr w:rsidR="009F1552" w:rsidRPr="009F1552" w14:paraId="52386B34" w14:textId="77777777" w:rsidTr="006D7D1B">
        <w:tc>
          <w:tcPr>
            <w:tcW w:w="9360" w:type="dxa"/>
            <w:gridSpan w:val="5"/>
          </w:tcPr>
          <w:p w14:paraId="54266D17" w14:textId="77777777" w:rsidR="009F1552" w:rsidRPr="009F1552" w:rsidRDefault="009F1552" w:rsidP="009F1552">
            <w:pPr>
              <w:pStyle w:val="zSoquijlblGreffe"/>
            </w:pPr>
            <w:r w:rsidRPr="009F1552">
              <w:t xml:space="preserve">SIÈGE DE </w:t>
            </w:r>
            <w:bookmarkStart w:id="0" w:name="NomGreffe"/>
            <w:r w:rsidRPr="009F1552">
              <w:t>QUÉBEC</w:t>
            </w:r>
            <w:bookmarkEnd w:id="0"/>
          </w:p>
          <w:p w14:paraId="17B6932A" w14:textId="32499C41" w:rsidR="009F1552" w:rsidRPr="009F1552" w:rsidRDefault="009F1552" w:rsidP="009F1552">
            <w:pPr>
              <w:pStyle w:val="zSoquijlblGreffe"/>
            </w:pPr>
          </w:p>
        </w:tc>
      </w:tr>
      <w:tr w:rsidR="009F1552" w:rsidRPr="009F1552" w14:paraId="1B78F714" w14:textId="77777777" w:rsidTr="008D18FC">
        <w:tc>
          <w:tcPr>
            <w:tcW w:w="1030" w:type="dxa"/>
          </w:tcPr>
          <w:p w14:paraId="59758587" w14:textId="77777777" w:rsidR="008F364A" w:rsidRPr="009F1552" w:rsidRDefault="00740A17">
            <w:pPr>
              <w:pStyle w:val="zSoquijlblNoDossier"/>
            </w:pPr>
            <w:r w:rsidRPr="009F1552">
              <w:t>N° :</w:t>
            </w:r>
          </w:p>
        </w:tc>
        <w:tc>
          <w:tcPr>
            <w:tcW w:w="8330" w:type="dxa"/>
            <w:gridSpan w:val="4"/>
          </w:tcPr>
          <w:p w14:paraId="0C906B81" w14:textId="5F9F7563" w:rsidR="008F364A" w:rsidRPr="009F1552" w:rsidRDefault="009F1552">
            <w:pPr>
              <w:pStyle w:val="zSoquijdatNoDossier"/>
            </w:pPr>
            <w:bookmarkStart w:id="1" w:name="NoDossier"/>
            <w:r w:rsidRPr="009F1552">
              <w:t>200-10-700169-258</w:t>
            </w:r>
            <w:bookmarkEnd w:id="1"/>
          </w:p>
        </w:tc>
      </w:tr>
      <w:tr w:rsidR="009F1552" w:rsidRPr="009F1552" w14:paraId="5FB2B6C5" w14:textId="77777777" w:rsidTr="008D18FC">
        <w:tc>
          <w:tcPr>
            <w:tcW w:w="9360" w:type="dxa"/>
            <w:gridSpan w:val="5"/>
          </w:tcPr>
          <w:p w14:paraId="4731E1DD" w14:textId="661A9B73" w:rsidR="009F1552" w:rsidRPr="009F1552" w:rsidRDefault="009F1552" w:rsidP="009F1552">
            <w:pPr>
              <w:pStyle w:val="zSoquijdatNoDossierAnt"/>
            </w:pPr>
            <w:r w:rsidRPr="009F1552">
              <w:t>(615-01-034607-237)</w:t>
            </w:r>
          </w:p>
        </w:tc>
      </w:tr>
      <w:tr w:rsidR="009F1552" w:rsidRPr="009F1552" w14:paraId="6D394838" w14:textId="77777777" w:rsidTr="008D18FC">
        <w:tc>
          <w:tcPr>
            <w:tcW w:w="9360" w:type="dxa"/>
            <w:gridSpan w:val="5"/>
          </w:tcPr>
          <w:p w14:paraId="0AAB6B1F" w14:textId="77777777" w:rsidR="008F364A" w:rsidRPr="009F1552" w:rsidRDefault="008F364A"/>
        </w:tc>
      </w:tr>
      <w:tr w:rsidR="009F1552" w:rsidRPr="009F1552" w14:paraId="4E38A6A4" w14:textId="77777777" w:rsidTr="008D18FC">
        <w:tc>
          <w:tcPr>
            <w:tcW w:w="1030" w:type="dxa"/>
          </w:tcPr>
          <w:p w14:paraId="499482E1" w14:textId="77777777" w:rsidR="008F364A" w:rsidRPr="009F1552" w:rsidRDefault="00740A17">
            <w:pPr>
              <w:pStyle w:val="zSoquijlblDateJugement"/>
            </w:pPr>
            <w:r w:rsidRPr="009F1552">
              <w:t>DATE :</w:t>
            </w:r>
          </w:p>
        </w:tc>
        <w:tc>
          <w:tcPr>
            <w:tcW w:w="8330" w:type="dxa"/>
            <w:gridSpan w:val="4"/>
          </w:tcPr>
          <w:p w14:paraId="616DD95D" w14:textId="55058ED0" w:rsidR="00660C21" w:rsidRPr="006B786C" w:rsidRDefault="007E4353">
            <w:pPr>
              <w:pStyle w:val="zSoquijdatDateJugement"/>
              <w:rPr>
                <w:highlight w:val="yellow"/>
              </w:rPr>
            </w:pPr>
            <w:r>
              <w:t>22 </w:t>
            </w:r>
            <w:r w:rsidR="00660C21" w:rsidRPr="000209D1">
              <w:t>juin</w:t>
            </w:r>
            <w:r>
              <w:t> </w:t>
            </w:r>
            <w:r w:rsidR="00660C21" w:rsidRPr="000209D1">
              <w:t>2026</w:t>
            </w:r>
          </w:p>
        </w:tc>
      </w:tr>
      <w:tr w:rsidR="009F1552" w:rsidRPr="009F1552" w14:paraId="1E337ACD" w14:textId="77777777" w:rsidTr="008D18FC">
        <w:tc>
          <w:tcPr>
            <w:tcW w:w="9360" w:type="dxa"/>
            <w:gridSpan w:val="5"/>
            <w:tcBorders>
              <w:bottom w:val="single" w:sz="8" w:space="0" w:color="auto"/>
            </w:tcBorders>
          </w:tcPr>
          <w:p w14:paraId="6E5DC3F5" w14:textId="77777777" w:rsidR="008F364A" w:rsidRPr="009F1552" w:rsidRDefault="008F364A"/>
        </w:tc>
      </w:tr>
      <w:tr w:rsidR="009F1552" w:rsidRPr="009F1552" w14:paraId="2D9A33CF" w14:textId="77777777" w:rsidTr="008D18FC">
        <w:tc>
          <w:tcPr>
            <w:tcW w:w="9360" w:type="dxa"/>
            <w:gridSpan w:val="5"/>
            <w:tcBorders>
              <w:top w:val="single" w:sz="8" w:space="0" w:color="auto"/>
            </w:tcBorders>
          </w:tcPr>
          <w:p w14:paraId="37FADA6C" w14:textId="77777777" w:rsidR="008F364A" w:rsidRPr="009F1552" w:rsidRDefault="008F364A"/>
        </w:tc>
      </w:tr>
      <w:tr w:rsidR="009F1552" w:rsidRPr="009F1552" w14:paraId="44CBD509" w14:textId="77777777" w:rsidTr="008D18FC">
        <w:tc>
          <w:tcPr>
            <w:tcW w:w="1620" w:type="dxa"/>
            <w:gridSpan w:val="2"/>
          </w:tcPr>
          <w:p w14:paraId="0FC2461F" w14:textId="77777777" w:rsidR="008F364A" w:rsidRPr="009F1552" w:rsidRDefault="00B70485" w:rsidP="00423DF1">
            <w:pPr>
              <w:pStyle w:val="zSoquijlblJuge"/>
              <w:ind w:right="-142"/>
            </w:pPr>
            <w:bookmarkStart w:id="2" w:name="FORMATION"/>
            <w:r w:rsidRPr="009F1552">
              <w:t>FORMATION</w:t>
            </w:r>
            <w:r w:rsidR="00B513C9" w:rsidRPr="009F1552">
              <w:t> </w:t>
            </w:r>
            <w:r w:rsidR="00740A17" w:rsidRPr="009F1552">
              <w:t>:</w:t>
            </w:r>
            <w:bookmarkEnd w:id="2"/>
          </w:p>
        </w:tc>
        <w:tc>
          <w:tcPr>
            <w:tcW w:w="2350" w:type="dxa"/>
          </w:tcPr>
          <w:p w14:paraId="2B08D666" w14:textId="77777777" w:rsidR="008F364A" w:rsidRPr="009F1552" w:rsidRDefault="00740A17">
            <w:pPr>
              <w:pStyle w:val="zSoquijdatQteJuge"/>
            </w:pPr>
            <w:bookmarkStart w:id="3" w:name="Honorables"/>
            <w:r w:rsidRPr="009F1552">
              <w:t>LES HONORABLES</w:t>
            </w:r>
            <w:bookmarkEnd w:id="3"/>
          </w:p>
        </w:tc>
        <w:tc>
          <w:tcPr>
            <w:tcW w:w="5390" w:type="dxa"/>
            <w:gridSpan w:val="2"/>
          </w:tcPr>
          <w:p w14:paraId="0D15D74E" w14:textId="01C18216" w:rsidR="008F364A" w:rsidRPr="009F1552" w:rsidRDefault="009F1552">
            <w:pPr>
              <w:pStyle w:val="zSoquijdatJuge"/>
            </w:pPr>
            <w:bookmarkStart w:id="4" w:name="NomJuge1"/>
            <w:r w:rsidRPr="009F1552">
              <w:t>MARIE-FRANCE BICH, J.C.A.</w:t>
            </w:r>
            <w:bookmarkEnd w:id="4"/>
          </w:p>
          <w:p w14:paraId="19F1936B" w14:textId="0C94980E" w:rsidR="008F364A" w:rsidRPr="009F1552" w:rsidRDefault="009F1552">
            <w:pPr>
              <w:pStyle w:val="zSoquijdatJuge"/>
            </w:pPr>
            <w:bookmarkStart w:id="5" w:name="NomJuge2"/>
            <w:r w:rsidRPr="009F1552">
              <w:t>MICHEL BEAUPRÉ, J.C.A.</w:t>
            </w:r>
            <w:bookmarkEnd w:id="5"/>
          </w:p>
          <w:p w14:paraId="0248FAD8" w14:textId="1F435343" w:rsidR="005A78BF" w:rsidRPr="009F1552" w:rsidRDefault="009F1552" w:rsidP="009F1552">
            <w:pPr>
              <w:pStyle w:val="zSoquijdatJuge"/>
              <w:rPr>
                <w:lang w:val="de-DE"/>
              </w:rPr>
            </w:pPr>
            <w:bookmarkStart w:id="6" w:name="_Hlt520513784"/>
            <w:bookmarkStart w:id="7" w:name="NomJuge3"/>
            <w:bookmarkEnd w:id="6"/>
            <w:r w:rsidRPr="009F1552">
              <w:t>MYRIAM LACHANCE, J.C.A.</w:t>
            </w:r>
            <w:bookmarkEnd w:id="7"/>
          </w:p>
        </w:tc>
      </w:tr>
      <w:tr w:rsidR="009F1552" w:rsidRPr="009F1552" w14:paraId="7405F6A4" w14:textId="77777777" w:rsidTr="008D18FC">
        <w:tc>
          <w:tcPr>
            <w:tcW w:w="9360" w:type="dxa"/>
            <w:gridSpan w:val="5"/>
            <w:tcBorders>
              <w:bottom w:val="single" w:sz="8" w:space="0" w:color="auto"/>
            </w:tcBorders>
          </w:tcPr>
          <w:p w14:paraId="5AB88653" w14:textId="77777777" w:rsidR="008F364A" w:rsidRPr="009F1552" w:rsidRDefault="008F364A">
            <w:pPr>
              <w:rPr>
                <w:lang w:val="de-DE"/>
              </w:rPr>
            </w:pPr>
          </w:p>
        </w:tc>
      </w:tr>
      <w:tr w:rsidR="009F1552" w:rsidRPr="009F1552" w14:paraId="12295746" w14:textId="77777777" w:rsidTr="008D18FC">
        <w:tc>
          <w:tcPr>
            <w:tcW w:w="9360" w:type="dxa"/>
            <w:gridSpan w:val="5"/>
          </w:tcPr>
          <w:p w14:paraId="23D3DF46" w14:textId="77777777" w:rsidR="008F364A" w:rsidRPr="009F1552" w:rsidRDefault="008F364A">
            <w:pPr>
              <w:pStyle w:val="zSoquijlblTitrePartie"/>
              <w:rPr>
                <w:lang w:val="de-DE"/>
              </w:rPr>
            </w:pPr>
          </w:p>
        </w:tc>
      </w:tr>
      <w:tr w:rsidR="009F1552" w:rsidRPr="009F1552" w14:paraId="176BD26D" w14:textId="77777777" w:rsidTr="008D18FC">
        <w:tc>
          <w:tcPr>
            <w:tcW w:w="9360" w:type="dxa"/>
            <w:gridSpan w:val="5"/>
          </w:tcPr>
          <w:p w14:paraId="5705DFE9" w14:textId="33AEBB93" w:rsidR="008F364A" w:rsidRPr="009F1552" w:rsidRDefault="009F1552">
            <w:pPr>
              <w:pStyle w:val="zSoquijdatNomPartieDem"/>
              <w:rPr>
                <w:lang w:val="de-DE"/>
              </w:rPr>
            </w:pPr>
            <w:r w:rsidRPr="009F1552">
              <w:t>DANYK SAVOIE</w:t>
            </w:r>
          </w:p>
        </w:tc>
      </w:tr>
      <w:tr w:rsidR="009F1552" w:rsidRPr="009F1552" w14:paraId="71671D44" w14:textId="77777777" w:rsidTr="008D18FC">
        <w:tc>
          <w:tcPr>
            <w:tcW w:w="9360" w:type="dxa"/>
            <w:gridSpan w:val="5"/>
          </w:tcPr>
          <w:p w14:paraId="1E745ED7" w14:textId="2CAEB192" w:rsidR="008F364A" w:rsidRPr="009F1552" w:rsidRDefault="009F1552">
            <w:pPr>
              <w:pStyle w:val="zSoquijdatQtePartieDem"/>
              <w:rPr>
                <w:lang w:val="de-DE"/>
              </w:rPr>
            </w:pPr>
            <w:r w:rsidRPr="009F1552">
              <w:t>APPELANT – accusé</w:t>
            </w:r>
          </w:p>
        </w:tc>
      </w:tr>
      <w:tr w:rsidR="009F1552" w:rsidRPr="009F1552" w14:paraId="31CFE2F5" w14:textId="77777777" w:rsidTr="008D18FC">
        <w:tc>
          <w:tcPr>
            <w:tcW w:w="9360" w:type="dxa"/>
            <w:gridSpan w:val="5"/>
          </w:tcPr>
          <w:p w14:paraId="1BDABEA1" w14:textId="77777777" w:rsidR="008F364A" w:rsidRPr="009F1552" w:rsidRDefault="00740A17">
            <w:pPr>
              <w:pStyle w:val="zSoquijlblLienParties"/>
              <w:rPr>
                <w:lang w:val="en-CA"/>
              </w:rPr>
            </w:pPr>
            <w:r w:rsidRPr="009F1552">
              <w:rPr>
                <w:lang w:val="en-CA"/>
              </w:rPr>
              <w:t>c.</w:t>
            </w:r>
          </w:p>
        </w:tc>
      </w:tr>
      <w:tr w:rsidR="009F1552" w:rsidRPr="009F1552" w14:paraId="093CADB1" w14:textId="77777777" w:rsidTr="008D18FC">
        <w:tc>
          <w:tcPr>
            <w:tcW w:w="9360" w:type="dxa"/>
            <w:gridSpan w:val="5"/>
          </w:tcPr>
          <w:p w14:paraId="0F429AE3" w14:textId="77777777" w:rsidR="008F364A" w:rsidRPr="009F1552" w:rsidRDefault="008F364A">
            <w:pPr>
              <w:rPr>
                <w:lang w:val="en-CA"/>
              </w:rPr>
            </w:pPr>
          </w:p>
        </w:tc>
      </w:tr>
      <w:tr w:rsidR="009F1552" w:rsidRPr="009F1552" w14:paraId="697C96A1" w14:textId="77777777" w:rsidTr="008D18FC">
        <w:tc>
          <w:tcPr>
            <w:tcW w:w="9360" w:type="dxa"/>
            <w:gridSpan w:val="5"/>
          </w:tcPr>
          <w:p w14:paraId="77E00DC1" w14:textId="6D709C3F" w:rsidR="008F364A" w:rsidRPr="009F1552" w:rsidRDefault="009F1552">
            <w:pPr>
              <w:pStyle w:val="zSoquijdatNomPartieDef"/>
              <w:rPr>
                <w:lang w:val="en-CA"/>
              </w:rPr>
            </w:pPr>
            <w:r w:rsidRPr="009F1552">
              <w:t>SA MAJESTÉ LE ROI</w:t>
            </w:r>
          </w:p>
        </w:tc>
      </w:tr>
      <w:tr w:rsidR="009F1552" w:rsidRPr="009F1552" w14:paraId="2D47F3C6" w14:textId="77777777" w:rsidTr="008D18FC">
        <w:tc>
          <w:tcPr>
            <w:tcW w:w="9360" w:type="dxa"/>
            <w:gridSpan w:val="5"/>
          </w:tcPr>
          <w:p w14:paraId="6BAB7F85" w14:textId="49DAACD7" w:rsidR="008F364A" w:rsidRPr="009F1552" w:rsidRDefault="009F1552">
            <w:pPr>
              <w:pStyle w:val="zSoquijdatQtePartieDef"/>
              <w:rPr>
                <w:lang w:val="en-CA"/>
              </w:rPr>
            </w:pPr>
            <w:r w:rsidRPr="009F1552">
              <w:t>INTIMÉ – poursuivant</w:t>
            </w:r>
          </w:p>
        </w:tc>
      </w:tr>
      <w:tr w:rsidR="000209D1" w:rsidRPr="009F1552" w14:paraId="0A271FD9" w14:textId="77777777" w:rsidTr="008D18FC">
        <w:tc>
          <w:tcPr>
            <w:tcW w:w="9360" w:type="dxa"/>
            <w:gridSpan w:val="5"/>
          </w:tcPr>
          <w:p w14:paraId="72DFAE1A" w14:textId="77777777" w:rsidR="000209D1" w:rsidRPr="009F1552" w:rsidRDefault="000209D1">
            <w:pPr>
              <w:pStyle w:val="zSoquijdatQtePartieDef"/>
            </w:pPr>
          </w:p>
        </w:tc>
      </w:tr>
      <w:tr w:rsidR="009F1552" w:rsidRPr="009F1552" w14:paraId="40680873" w14:textId="77777777" w:rsidTr="008D18FC">
        <w:tc>
          <w:tcPr>
            <w:tcW w:w="9360" w:type="dxa"/>
            <w:gridSpan w:val="5"/>
          </w:tcPr>
          <w:p w14:paraId="3C5FC07B" w14:textId="77777777" w:rsidR="008F364A" w:rsidRPr="009F1552" w:rsidRDefault="008F364A">
            <w:pPr>
              <w:rPr>
                <w:lang w:val="en-CA"/>
              </w:rPr>
            </w:pPr>
          </w:p>
        </w:tc>
      </w:tr>
      <w:tr w:rsidR="009F1552" w:rsidRPr="009F1552" w14:paraId="4181C232" w14:textId="77777777" w:rsidTr="008D18FC">
        <w:tc>
          <w:tcPr>
            <w:tcW w:w="9360" w:type="dxa"/>
            <w:gridSpan w:val="5"/>
            <w:tcBorders>
              <w:top w:val="single" w:sz="8" w:space="0" w:color="auto"/>
            </w:tcBorders>
          </w:tcPr>
          <w:p w14:paraId="7218EE7A" w14:textId="77777777" w:rsidR="008F364A" w:rsidRPr="009F1552" w:rsidRDefault="008F364A">
            <w:pPr>
              <w:rPr>
                <w:lang w:val="en-CA"/>
              </w:rPr>
            </w:pPr>
            <w:bookmarkStart w:id="8" w:name="Arret"/>
          </w:p>
        </w:tc>
      </w:tr>
      <w:tr w:rsidR="009F1552" w:rsidRPr="009F1552" w14:paraId="6DD056BA" w14:textId="77777777" w:rsidTr="008D18FC">
        <w:tc>
          <w:tcPr>
            <w:tcW w:w="9360" w:type="dxa"/>
            <w:gridSpan w:val="5"/>
          </w:tcPr>
          <w:p w14:paraId="2A03C604" w14:textId="01F01CF6" w:rsidR="008F364A" w:rsidRPr="009F1552" w:rsidRDefault="009F1552">
            <w:pPr>
              <w:pStyle w:val="zSoquijlblTypeDocument"/>
            </w:pPr>
            <w:bookmarkStart w:id="9" w:name="TitreDocument"/>
            <w:r w:rsidRPr="009F1552">
              <w:t>ARRÊT</w:t>
            </w:r>
            <w:bookmarkEnd w:id="9"/>
          </w:p>
        </w:tc>
      </w:tr>
      <w:tr w:rsidR="009F1552" w:rsidRPr="009F1552" w14:paraId="3771FD41" w14:textId="77777777" w:rsidTr="008D18FC">
        <w:tc>
          <w:tcPr>
            <w:tcW w:w="9360" w:type="dxa"/>
            <w:gridSpan w:val="5"/>
            <w:tcBorders>
              <w:bottom w:val="single" w:sz="8" w:space="0" w:color="auto"/>
            </w:tcBorders>
          </w:tcPr>
          <w:p w14:paraId="6C9BFE27" w14:textId="77777777" w:rsidR="008F364A" w:rsidRPr="009F1552" w:rsidRDefault="008F364A"/>
        </w:tc>
      </w:tr>
      <w:tr w:rsidR="009F1552" w:rsidRPr="009F1552" w14:paraId="3D2B94A9" w14:textId="77777777" w:rsidTr="008D18FC">
        <w:tc>
          <w:tcPr>
            <w:tcW w:w="9360" w:type="dxa"/>
            <w:gridSpan w:val="5"/>
            <w:tcBorders>
              <w:top w:val="single" w:sz="8" w:space="0" w:color="auto"/>
            </w:tcBorders>
          </w:tcPr>
          <w:p w14:paraId="2B0D6D6C" w14:textId="77777777" w:rsidR="008F364A" w:rsidRPr="009F1552" w:rsidRDefault="008F364A"/>
        </w:tc>
      </w:tr>
    </w:tbl>
    <w:p w14:paraId="7039FBFC" w14:textId="77777777" w:rsidR="009F1552" w:rsidRPr="009F1552" w:rsidRDefault="009F1552" w:rsidP="00164851">
      <w:pPr>
        <w:spacing w:before="360" w:after="120"/>
        <w:jc w:val="both"/>
        <w:rPr>
          <w:rFonts w:cs="Arial"/>
          <w:b/>
          <w:szCs w:val="24"/>
        </w:rPr>
      </w:pPr>
      <w:r w:rsidRPr="009F1552">
        <w:rPr>
          <w:rFonts w:cs="Arial"/>
          <w:b/>
          <w:bCs/>
          <w:szCs w:val="24"/>
          <w:u w:val="single"/>
        </w:rPr>
        <w:t>MISE EN GARDE</w:t>
      </w:r>
      <w:r w:rsidRPr="009F1552">
        <w:rPr>
          <w:rFonts w:cs="Arial"/>
          <w:b/>
          <w:bCs/>
          <w:szCs w:val="24"/>
        </w:rPr>
        <w:t> : U</w:t>
      </w:r>
      <w:r w:rsidRPr="009F1552">
        <w:rPr>
          <w:rFonts w:cs="Arial"/>
          <w:b/>
          <w:szCs w:val="24"/>
        </w:rPr>
        <w:t>ne ordonnance limitant la publication a été prononcée en première instance en vertu de l’article 486.4</w:t>
      </w:r>
      <w:r w:rsidRPr="009F1552">
        <w:rPr>
          <w:rFonts w:cs="Arial"/>
          <w:b/>
          <w:bCs/>
        </w:rPr>
        <w:t> </w:t>
      </w:r>
      <w:r w:rsidRPr="009F1552">
        <w:rPr>
          <w:rFonts w:cs="Arial"/>
          <w:b/>
          <w:bCs/>
          <w:i/>
          <w:iCs/>
        </w:rPr>
        <w:t>C.cr.</w:t>
      </w:r>
      <w:r w:rsidRPr="009F1552">
        <w:rPr>
          <w:rFonts w:cs="Arial"/>
          <w:b/>
          <w:szCs w:val="24"/>
        </w:rPr>
        <w:t xml:space="preserve"> afin d’interdire la publication ou la diffusion de quelque façon que ce soit de tout renseignement qui permettrait d’établir l’identité de la victime ou d’un témoin.</w:t>
      </w:r>
    </w:p>
    <w:p w14:paraId="4E13E4CE" w14:textId="28EE93C6" w:rsidR="00164851" w:rsidRDefault="00164851" w:rsidP="00164851">
      <w:pPr>
        <w:pStyle w:val="Paragraphe"/>
        <w:spacing w:before="240" w:line="280" w:lineRule="exact"/>
      </w:pPr>
      <w:r>
        <w:t>L’appelant se pourvoit contre un jugement rendu</w:t>
      </w:r>
      <w:r w:rsidR="002A7A49">
        <w:t xml:space="preserve"> par l’honorable </w:t>
      </w:r>
      <w:r w:rsidR="002A7A49" w:rsidRPr="00EE3BC9">
        <w:t>Nicolas Bigué</w:t>
      </w:r>
      <w:r w:rsidR="002A7A49">
        <w:noBreakHyphen/>
      </w:r>
      <w:r w:rsidR="002A7A49" w:rsidRPr="00EE3BC9">
        <w:t>Turcotte</w:t>
      </w:r>
      <w:r w:rsidR="002A7A49">
        <w:t xml:space="preserve"> de </w:t>
      </w:r>
      <w:r>
        <w:t>la Cour du Québec</w:t>
      </w:r>
      <w:r w:rsidR="002A7A49">
        <w:t xml:space="preserve">, </w:t>
      </w:r>
      <w:r>
        <w:t xml:space="preserve">district d’Abitibi, </w:t>
      </w:r>
      <w:r w:rsidR="002A7A49">
        <w:t>le 1</w:t>
      </w:r>
      <w:r w:rsidR="002A7A49" w:rsidRPr="009A0E8C">
        <w:rPr>
          <w:vertAlign w:val="superscript"/>
        </w:rPr>
        <w:t>er</w:t>
      </w:r>
      <w:r w:rsidR="002A7A49">
        <w:t xml:space="preserve"> mai 2025, qui le déclare c</w:t>
      </w:r>
      <w:r>
        <w:t>oupable d’agression sexuelle (a</w:t>
      </w:r>
      <w:r w:rsidR="003044E5">
        <w:t>l</w:t>
      </w:r>
      <w:r>
        <w:t>. 271</w:t>
      </w:r>
      <w:r w:rsidRPr="00A91D90">
        <w:rPr>
          <w:i/>
          <w:iCs/>
        </w:rPr>
        <w:t>a</w:t>
      </w:r>
      <w:r>
        <w:t xml:space="preserve">) </w:t>
      </w:r>
      <w:r>
        <w:rPr>
          <w:i/>
          <w:iCs/>
        </w:rPr>
        <w:t>C.cr.</w:t>
      </w:r>
      <w:r>
        <w:t>).</w:t>
      </w:r>
    </w:p>
    <w:p w14:paraId="6B552D0B" w14:textId="77777777" w:rsidR="00164851" w:rsidRDefault="00164851">
      <w:pPr>
        <w:spacing w:line="240" w:lineRule="auto"/>
        <w:rPr>
          <w:kern w:val="28"/>
        </w:rPr>
      </w:pPr>
      <w:r>
        <w:br w:type="page"/>
      </w:r>
    </w:p>
    <w:p w14:paraId="11F0616C" w14:textId="2FF18F2D" w:rsidR="00164851" w:rsidRDefault="00164851" w:rsidP="00164851">
      <w:pPr>
        <w:pStyle w:val="Paragraphe"/>
        <w:spacing w:line="280" w:lineRule="exact"/>
      </w:pPr>
      <w:r>
        <w:lastRenderedPageBreak/>
        <w:t xml:space="preserve">Pour les motifs de la juge Lachance, auxquels souscrivent les juges Bich et Beaupré, </w:t>
      </w:r>
      <w:r w:rsidRPr="00164851">
        <w:rPr>
          <w:b/>
          <w:bCs/>
        </w:rPr>
        <w:t>LA COUR :</w:t>
      </w:r>
    </w:p>
    <w:p w14:paraId="6FFE247A" w14:textId="77777777" w:rsidR="00164851" w:rsidRPr="007948F8" w:rsidRDefault="00164851" w:rsidP="00164851">
      <w:pPr>
        <w:pStyle w:val="Paragraphe"/>
        <w:spacing w:line="360" w:lineRule="auto"/>
        <w:rPr>
          <w:bCs/>
        </w:rPr>
      </w:pPr>
      <w:r w:rsidRPr="007948F8">
        <w:rPr>
          <w:b/>
        </w:rPr>
        <w:t xml:space="preserve">ACCUEILLE </w:t>
      </w:r>
      <w:r w:rsidRPr="007948F8">
        <w:rPr>
          <w:bCs/>
        </w:rPr>
        <w:t>l’appel;</w:t>
      </w:r>
    </w:p>
    <w:p w14:paraId="03CA5662" w14:textId="77777777" w:rsidR="00164851" w:rsidRPr="007948F8" w:rsidRDefault="00164851" w:rsidP="00164851">
      <w:pPr>
        <w:pStyle w:val="Paragraphe"/>
        <w:spacing w:line="360" w:lineRule="auto"/>
        <w:rPr>
          <w:bCs/>
        </w:rPr>
      </w:pPr>
      <w:r w:rsidRPr="007948F8">
        <w:rPr>
          <w:b/>
        </w:rPr>
        <w:t xml:space="preserve">INFIRME </w:t>
      </w:r>
      <w:r w:rsidRPr="007948F8">
        <w:rPr>
          <w:bCs/>
        </w:rPr>
        <w:t>le jugement de culpabilité rendu le 1</w:t>
      </w:r>
      <w:r w:rsidRPr="007948F8">
        <w:rPr>
          <w:bCs/>
          <w:vertAlign w:val="superscript"/>
        </w:rPr>
        <w:t>er</w:t>
      </w:r>
      <w:r w:rsidRPr="007948F8">
        <w:rPr>
          <w:bCs/>
        </w:rPr>
        <w:t> mai 2025;</w:t>
      </w:r>
    </w:p>
    <w:p w14:paraId="01CE8BCE" w14:textId="62774B37" w:rsidR="009F1552" w:rsidRPr="009F1552" w:rsidRDefault="00164851" w:rsidP="00164851">
      <w:pPr>
        <w:pStyle w:val="Paragraphe"/>
        <w:spacing w:line="360" w:lineRule="auto"/>
      </w:pPr>
      <w:r w:rsidRPr="00164851">
        <w:rPr>
          <w:b/>
        </w:rPr>
        <w:t xml:space="preserve">ORDONNE </w:t>
      </w:r>
      <w:r w:rsidRPr="00164851">
        <w:rPr>
          <w:bCs/>
        </w:rPr>
        <w:t>la tenue d’un nouveau procès.</w:t>
      </w: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997"/>
        <w:gridCol w:w="2685"/>
        <w:gridCol w:w="4680"/>
      </w:tblGrid>
      <w:tr w:rsidR="009F1552" w:rsidRPr="009F1552" w14:paraId="49F329AD" w14:textId="77777777" w:rsidTr="003E3239">
        <w:trPr>
          <w:trHeight w:val="576"/>
        </w:trPr>
        <w:tc>
          <w:tcPr>
            <w:tcW w:w="9362" w:type="dxa"/>
            <w:gridSpan w:val="3"/>
            <w:tcBorders>
              <w:top w:val="nil"/>
              <w:bottom w:val="nil"/>
            </w:tcBorders>
          </w:tcPr>
          <w:p w14:paraId="43AFCA5D" w14:textId="77777777" w:rsidR="008F364A" w:rsidRPr="009F1552" w:rsidRDefault="008F364A">
            <w:pPr>
              <w:keepNext/>
            </w:pPr>
          </w:p>
        </w:tc>
      </w:tr>
      <w:tr w:rsidR="009F1552" w:rsidRPr="009F1552" w14:paraId="6121F074" w14:textId="77777777" w:rsidTr="00117914">
        <w:trPr>
          <w:trHeight w:val="283"/>
        </w:trPr>
        <w:tc>
          <w:tcPr>
            <w:tcW w:w="4682" w:type="dxa"/>
            <w:gridSpan w:val="2"/>
            <w:tcBorders>
              <w:top w:val="nil"/>
              <w:bottom w:val="nil"/>
            </w:tcBorders>
          </w:tcPr>
          <w:p w14:paraId="1092AE2A" w14:textId="77777777" w:rsidR="008F364A" w:rsidRPr="009F1552" w:rsidRDefault="008F364A">
            <w:pPr>
              <w:keepNext/>
            </w:pPr>
          </w:p>
        </w:tc>
        <w:tc>
          <w:tcPr>
            <w:tcW w:w="4680" w:type="dxa"/>
            <w:tcBorders>
              <w:top w:val="nil"/>
              <w:bottom w:val="single" w:sz="8" w:space="0" w:color="auto"/>
            </w:tcBorders>
          </w:tcPr>
          <w:p w14:paraId="66302C57" w14:textId="77777777" w:rsidR="008F364A" w:rsidRPr="009F1552" w:rsidRDefault="008F364A">
            <w:pPr>
              <w:keepNext/>
            </w:pPr>
          </w:p>
        </w:tc>
      </w:tr>
      <w:tr w:rsidR="009F1552" w:rsidRPr="009F1552" w14:paraId="2208C6DB" w14:textId="77777777" w:rsidTr="00117914">
        <w:trPr>
          <w:trHeight w:val="283"/>
        </w:trPr>
        <w:tc>
          <w:tcPr>
            <w:tcW w:w="4682" w:type="dxa"/>
            <w:gridSpan w:val="2"/>
            <w:tcBorders>
              <w:top w:val="nil"/>
            </w:tcBorders>
          </w:tcPr>
          <w:p w14:paraId="6E126CBA" w14:textId="77777777" w:rsidR="008F364A" w:rsidRPr="009F1552" w:rsidRDefault="008F364A">
            <w:pPr>
              <w:keepNext/>
            </w:pPr>
          </w:p>
        </w:tc>
        <w:tc>
          <w:tcPr>
            <w:tcW w:w="4680" w:type="dxa"/>
            <w:tcBorders>
              <w:top w:val="single" w:sz="8" w:space="0" w:color="auto"/>
            </w:tcBorders>
          </w:tcPr>
          <w:p w14:paraId="53E20C90" w14:textId="7F46AC2B" w:rsidR="008F364A" w:rsidRPr="009F1552" w:rsidRDefault="00040B44">
            <w:r>
              <w:t>MARIE-FRANCE BICH, J.C.A.</w:t>
            </w:r>
          </w:p>
        </w:tc>
      </w:tr>
      <w:tr w:rsidR="009F1552" w:rsidRPr="009F1552" w14:paraId="3F4EDD71" w14:textId="77777777" w:rsidTr="00117914">
        <w:trPr>
          <w:trHeight w:val="283"/>
        </w:trPr>
        <w:tc>
          <w:tcPr>
            <w:tcW w:w="4682" w:type="dxa"/>
            <w:gridSpan w:val="2"/>
            <w:tcBorders>
              <w:top w:val="nil"/>
            </w:tcBorders>
          </w:tcPr>
          <w:p w14:paraId="45C19188" w14:textId="77777777" w:rsidR="008F364A" w:rsidRPr="009F1552" w:rsidRDefault="008F364A">
            <w:pPr>
              <w:keepNext/>
            </w:pPr>
            <w:bookmarkStart w:id="10" w:name="Signature2"/>
          </w:p>
        </w:tc>
        <w:tc>
          <w:tcPr>
            <w:tcW w:w="4680" w:type="dxa"/>
            <w:tcBorders>
              <w:top w:val="nil"/>
            </w:tcBorders>
          </w:tcPr>
          <w:p w14:paraId="2DF8DD4F" w14:textId="77777777" w:rsidR="008F364A" w:rsidRPr="009F1552" w:rsidRDefault="008F364A">
            <w:pPr>
              <w:keepNext/>
            </w:pPr>
          </w:p>
        </w:tc>
      </w:tr>
      <w:tr w:rsidR="009F1552" w:rsidRPr="009F1552" w14:paraId="15A06F43" w14:textId="77777777" w:rsidTr="00117914">
        <w:trPr>
          <w:trHeight w:val="283"/>
        </w:trPr>
        <w:tc>
          <w:tcPr>
            <w:tcW w:w="4682" w:type="dxa"/>
            <w:gridSpan w:val="2"/>
            <w:tcBorders>
              <w:top w:val="nil"/>
              <w:bottom w:val="nil"/>
            </w:tcBorders>
          </w:tcPr>
          <w:p w14:paraId="4F92054D" w14:textId="77777777" w:rsidR="008F364A" w:rsidRPr="009F1552" w:rsidRDefault="008F364A">
            <w:pPr>
              <w:keepNext/>
            </w:pPr>
          </w:p>
        </w:tc>
        <w:tc>
          <w:tcPr>
            <w:tcW w:w="4680" w:type="dxa"/>
            <w:tcBorders>
              <w:top w:val="nil"/>
              <w:bottom w:val="single" w:sz="8" w:space="0" w:color="auto"/>
            </w:tcBorders>
          </w:tcPr>
          <w:p w14:paraId="2FE23F3A" w14:textId="77777777" w:rsidR="008F364A" w:rsidRPr="009F1552" w:rsidRDefault="008F364A">
            <w:pPr>
              <w:keepNext/>
            </w:pPr>
          </w:p>
        </w:tc>
      </w:tr>
      <w:tr w:rsidR="009F1552" w:rsidRPr="009F1552" w14:paraId="56960CCD" w14:textId="77777777" w:rsidTr="00117914">
        <w:trPr>
          <w:trHeight w:val="283"/>
        </w:trPr>
        <w:tc>
          <w:tcPr>
            <w:tcW w:w="4682" w:type="dxa"/>
            <w:gridSpan w:val="2"/>
            <w:tcBorders>
              <w:top w:val="nil"/>
            </w:tcBorders>
          </w:tcPr>
          <w:p w14:paraId="46D912FD" w14:textId="77777777" w:rsidR="008F364A" w:rsidRPr="009F1552" w:rsidRDefault="008F364A">
            <w:pPr>
              <w:keepNext/>
            </w:pPr>
          </w:p>
        </w:tc>
        <w:tc>
          <w:tcPr>
            <w:tcW w:w="4680" w:type="dxa"/>
            <w:tcBorders>
              <w:top w:val="single" w:sz="8" w:space="0" w:color="auto"/>
            </w:tcBorders>
          </w:tcPr>
          <w:p w14:paraId="10BA4FDA" w14:textId="4219F93B" w:rsidR="008F364A" w:rsidRPr="009F1552" w:rsidRDefault="00040B44">
            <w:pPr>
              <w:keepNext/>
            </w:pPr>
            <w:r>
              <w:t>MICHEL BEAUPRÉ, J.C.A.</w:t>
            </w:r>
          </w:p>
        </w:tc>
      </w:tr>
      <w:tr w:rsidR="009F1552" w:rsidRPr="009F1552" w14:paraId="0F4D96C8" w14:textId="77777777" w:rsidTr="00117914">
        <w:trPr>
          <w:trHeight w:val="283"/>
        </w:trPr>
        <w:tc>
          <w:tcPr>
            <w:tcW w:w="4682" w:type="dxa"/>
            <w:gridSpan w:val="2"/>
            <w:tcBorders>
              <w:top w:val="nil"/>
            </w:tcBorders>
          </w:tcPr>
          <w:p w14:paraId="5575ED90" w14:textId="77777777" w:rsidR="008F364A" w:rsidRPr="009F1552" w:rsidRDefault="008F364A">
            <w:pPr>
              <w:keepNext/>
            </w:pPr>
            <w:bookmarkStart w:id="11" w:name="Signature3"/>
            <w:bookmarkEnd w:id="10"/>
          </w:p>
        </w:tc>
        <w:tc>
          <w:tcPr>
            <w:tcW w:w="4680" w:type="dxa"/>
            <w:tcBorders>
              <w:top w:val="nil"/>
            </w:tcBorders>
          </w:tcPr>
          <w:p w14:paraId="28278608" w14:textId="77777777" w:rsidR="008F364A" w:rsidRPr="009F1552" w:rsidRDefault="008F364A">
            <w:pPr>
              <w:keepNext/>
            </w:pPr>
          </w:p>
        </w:tc>
      </w:tr>
      <w:tr w:rsidR="009F1552" w:rsidRPr="009F1552" w14:paraId="0CEDB802" w14:textId="77777777" w:rsidTr="00117914">
        <w:trPr>
          <w:trHeight w:val="283"/>
        </w:trPr>
        <w:tc>
          <w:tcPr>
            <w:tcW w:w="4682" w:type="dxa"/>
            <w:gridSpan w:val="2"/>
            <w:tcBorders>
              <w:top w:val="nil"/>
              <w:bottom w:val="nil"/>
            </w:tcBorders>
          </w:tcPr>
          <w:p w14:paraId="2E9E4123" w14:textId="77777777" w:rsidR="008F364A" w:rsidRPr="009F1552" w:rsidRDefault="008F364A">
            <w:pPr>
              <w:keepNext/>
            </w:pPr>
          </w:p>
        </w:tc>
        <w:tc>
          <w:tcPr>
            <w:tcW w:w="4680" w:type="dxa"/>
            <w:tcBorders>
              <w:top w:val="nil"/>
              <w:bottom w:val="single" w:sz="8" w:space="0" w:color="auto"/>
            </w:tcBorders>
          </w:tcPr>
          <w:p w14:paraId="0835A453" w14:textId="77777777" w:rsidR="008F364A" w:rsidRPr="009F1552" w:rsidRDefault="008F364A">
            <w:pPr>
              <w:keepNext/>
            </w:pPr>
          </w:p>
        </w:tc>
      </w:tr>
      <w:tr w:rsidR="009F1552" w:rsidRPr="009F1552" w14:paraId="44782AC2" w14:textId="77777777" w:rsidTr="00117914">
        <w:trPr>
          <w:trHeight w:val="283"/>
        </w:trPr>
        <w:tc>
          <w:tcPr>
            <w:tcW w:w="4682" w:type="dxa"/>
            <w:gridSpan w:val="2"/>
            <w:tcBorders>
              <w:top w:val="nil"/>
            </w:tcBorders>
          </w:tcPr>
          <w:p w14:paraId="16B8CC84" w14:textId="77777777" w:rsidR="008F364A" w:rsidRPr="009F1552" w:rsidRDefault="008F364A">
            <w:pPr>
              <w:keepNext/>
            </w:pPr>
          </w:p>
        </w:tc>
        <w:tc>
          <w:tcPr>
            <w:tcW w:w="4680" w:type="dxa"/>
            <w:tcBorders>
              <w:top w:val="single" w:sz="8" w:space="0" w:color="auto"/>
            </w:tcBorders>
          </w:tcPr>
          <w:p w14:paraId="4A8AA8BD" w14:textId="05A02FC9" w:rsidR="008F364A" w:rsidRPr="009F1552" w:rsidRDefault="00040B44">
            <w:pPr>
              <w:keepNext/>
            </w:pPr>
            <w:r>
              <w:t>MYRIAM LACHANCE, J.C.A.</w:t>
            </w:r>
          </w:p>
        </w:tc>
      </w:tr>
      <w:bookmarkEnd w:id="11"/>
      <w:tr w:rsidR="009F1552" w:rsidRPr="009F1552" w14:paraId="680DBF7C" w14:textId="77777777" w:rsidTr="00423DF1">
        <w:tc>
          <w:tcPr>
            <w:tcW w:w="9362" w:type="dxa"/>
            <w:gridSpan w:val="3"/>
          </w:tcPr>
          <w:p w14:paraId="7B6836DD" w14:textId="77777777" w:rsidR="005A78BF" w:rsidRPr="009F1552" w:rsidRDefault="005A78BF" w:rsidP="005A78BF"/>
        </w:tc>
      </w:tr>
      <w:tr w:rsidR="009F1552" w:rsidRPr="009F1552" w14:paraId="7A0C3F83" w14:textId="77777777" w:rsidTr="00423DF1">
        <w:tc>
          <w:tcPr>
            <w:tcW w:w="9362" w:type="dxa"/>
            <w:gridSpan w:val="3"/>
          </w:tcPr>
          <w:p w14:paraId="7277D3FB" w14:textId="27C13071" w:rsidR="005A78BF" w:rsidRPr="009F1552" w:rsidRDefault="009F1552" w:rsidP="009F1552">
            <w:pPr>
              <w:pStyle w:val="zSoquijdatNomProcureurDem"/>
              <w:rPr>
                <w:lang w:val="en-CA"/>
              </w:rPr>
            </w:pPr>
            <w:r w:rsidRPr="009F1552">
              <w:rPr>
                <w:szCs w:val="24"/>
              </w:rPr>
              <w:t>Me Merlin Voghel Grégoire</w:t>
            </w:r>
          </w:p>
        </w:tc>
      </w:tr>
      <w:tr w:rsidR="009F1552" w:rsidRPr="009F1552" w14:paraId="7FC453D4" w14:textId="77777777" w:rsidTr="00423DF1">
        <w:tc>
          <w:tcPr>
            <w:tcW w:w="9362" w:type="dxa"/>
            <w:gridSpan w:val="3"/>
          </w:tcPr>
          <w:p w14:paraId="55A04001" w14:textId="618B0AA2" w:rsidR="005A78BF" w:rsidRPr="009F1552" w:rsidRDefault="009F1552" w:rsidP="005A78BF">
            <w:pPr>
              <w:pStyle w:val="zSoquijlblProcureurDem"/>
              <w:rPr>
                <w:lang w:val="en-CA"/>
              </w:rPr>
            </w:pPr>
            <w:r w:rsidRPr="009F1552">
              <w:t>Pour l’appelant</w:t>
            </w:r>
          </w:p>
        </w:tc>
      </w:tr>
      <w:tr w:rsidR="009F1552" w:rsidRPr="009F1552" w14:paraId="512DB90E" w14:textId="77777777" w:rsidTr="00423DF1">
        <w:tc>
          <w:tcPr>
            <w:tcW w:w="9362" w:type="dxa"/>
            <w:gridSpan w:val="3"/>
          </w:tcPr>
          <w:p w14:paraId="29D0FAAE" w14:textId="77777777" w:rsidR="005A78BF" w:rsidRPr="009F1552" w:rsidRDefault="005A78BF" w:rsidP="005A78BF">
            <w:pPr>
              <w:rPr>
                <w:lang w:val="en-CA"/>
              </w:rPr>
            </w:pPr>
          </w:p>
        </w:tc>
      </w:tr>
      <w:tr w:rsidR="009F1552" w:rsidRPr="009F1552" w14:paraId="2E7E0FD4" w14:textId="77777777" w:rsidTr="00423DF1">
        <w:tc>
          <w:tcPr>
            <w:tcW w:w="9362" w:type="dxa"/>
            <w:gridSpan w:val="3"/>
          </w:tcPr>
          <w:p w14:paraId="622131BD" w14:textId="5588EECF" w:rsidR="005A78BF" w:rsidRPr="009F1552" w:rsidRDefault="009F1552" w:rsidP="005A78BF">
            <w:pPr>
              <w:pStyle w:val="zSoquijdatNomProcureurDef"/>
              <w:rPr>
                <w:lang w:val="en-CA"/>
              </w:rPr>
            </w:pPr>
            <w:r w:rsidRPr="009F1552">
              <w:rPr>
                <w:szCs w:val="24"/>
              </w:rPr>
              <w:t>Me Léonie Caron</w:t>
            </w:r>
          </w:p>
        </w:tc>
      </w:tr>
      <w:tr w:rsidR="009F1552" w:rsidRPr="009F1552" w14:paraId="5C6835CA" w14:textId="77777777" w:rsidTr="00423DF1">
        <w:tc>
          <w:tcPr>
            <w:tcW w:w="9362" w:type="dxa"/>
            <w:gridSpan w:val="3"/>
          </w:tcPr>
          <w:p w14:paraId="35320EA2" w14:textId="2BFB3111" w:rsidR="005A78BF" w:rsidRPr="009F1552" w:rsidRDefault="009F1552" w:rsidP="009F1552">
            <w:pPr>
              <w:pStyle w:val="zSoquijdatNomProcureurDef"/>
            </w:pPr>
            <w:r w:rsidRPr="009F1552">
              <w:rPr>
                <w:szCs w:val="24"/>
              </w:rPr>
              <w:t>DIRECTEUR DES POURSUITES CRIMINELLES ET PÉNALES</w:t>
            </w:r>
          </w:p>
        </w:tc>
      </w:tr>
      <w:tr w:rsidR="009F1552" w:rsidRPr="009F1552" w14:paraId="6BCA3428" w14:textId="77777777" w:rsidTr="00423DF1">
        <w:tc>
          <w:tcPr>
            <w:tcW w:w="9362" w:type="dxa"/>
            <w:gridSpan w:val="3"/>
          </w:tcPr>
          <w:p w14:paraId="24E47787" w14:textId="6D56A3B4" w:rsidR="005A78BF" w:rsidRPr="009F1552" w:rsidRDefault="009F1552" w:rsidP="005A78BF">
            <w:pPr>
              <w:pStyle w:val="zSoquijlblProcureurDef"/>
              <w:rPr>
                <w:lang w:val="en-CA"/>
              </w:rPr>
            </w:pPr>
            <w:r w:rsidRPr="009F1552">
              <w:t>Pour l’intimé</w:t>
            </w:r>
          </w:p>
        </w:tc>
      </w:tr>
      <w:tr w:rsidR="009F1552" w:rsidRPr="009F1552" w14:paraId="768013C5" w14:textId="77777777" w:rsidTr="00423DF1">
        <w:tc>
          <w:tcPr>
            <w:tcW w:w="9362" w:type="dxa"/>
            <w:gridSpan w:val="3"/>
          </w:tcPr>
          <w:p w14:paraId="473FD2A0" w14:textId="77777777" w:rsidR="005A78BF" w:rsidRPr="009F1552" w:rsidRDefault="005A78BF" w:rsidP="005A78BF">
            <w:pPr>
              <w:rPr>
                <w:lang w:val="en-CA"/>
              </w:rPr>
            </w:pPr>
          </w:p>
        </w:tc>
      </w:tr>
      <w:tr w:rsidR="009F1552" w:rsidRPr="009F1552" w14:paraId="4426ED97" w14:textId="77777777" w:rsidTr="00423DF1">
        <w:tc>
          <w:tcPr>
            <w:tcW w:w="1997" w:type="dxa"/>
          </w:tcPr>
          <w:p w14:paraId="2A836FFE" w14:textId="77777777" w:rsidR="005A78BF" w:rsidRPr="009F1552" w:rsidRDefault="005A78BF" w:rsidP="005A78BF">
            <w:pPr>
              <w:pStyle w:val="zSoquijlblDateAudience"/>
            </w:pPr>
            <w:r w:rsidRPr="009F1552">
              <w:t>Date d’audience :</w:t>
            </w:r>
          </w:p>
        </w:tc>
        <w:tc>
          <w:tcPr>
            <w:tcW w:w="7365" w:type="dxa"/>
            <w:gridSpan w:val="2"/>
          </w:tcPr>
          <w:p w14:paraId="0F6C2DD5" w14:textId="1AA49442" w:rsidR="005A78BF" w:rsidRPr="009F1552" w:rsidRDefault="009F1552" w:rsidP="005A78BF">
            <w:pPr>
              <w:pStyle w:val="zSoquijdatDateAudience"/>
            </w:pPr>
            <w:r w:rsidRPr="009F1552">
              <w:t>26 mai 2026</w:t>
            </w:r>
          </w:p>
        </w:tc>
      </w:tr>
    </w:tbl>
    <w:p w14:paraId="166E689C" w14:textId="77777777" w:rsidR="00164851" w:rsidRDefault="00164851" w:rsidP="00164851">
      <w:pPr>
        <w:sectPr w:rsidR="00164851" w:rsidSect="00164851">
          <w:headerReference w:type="default" r:id="rId8"/>
          <w:footnotePr>
            <w:numRestart w:val="eachSect"/>
          </w:footnotePr>
          <w:pgSz w:w="12242" w:h="15842" w:code="1"/>
          <w:pgMar w:top="1440" w:right="1008" w:bottom="1440" w:left="1872" w:header="1440" w:footer="792" w:gutter="0"/>
          <w:cols w:space="720"/>
          <w:formProt w:val="0"/>
          <w:titlePg/>
          <w:docGrid w:linePitch="326"/>
        </w:sectPr>
      </w:pPr>
      <w:bookmarkStart w:id="12" w:name="Opinion"/>
      <w:bookmarkEnd w:id="8"/>
    </w:p>
    <w:tbl>
      <w:tblPr>
        <w:tblW w:w="0" w:type="auto"/>
        <w:tblLayout w:type="fixed"/>
        <w:tblCellMar>
          <w:left w:w="0" w:type="dxa"/>
          <w:right w:w="0" w:type="dxa"/>
        </w:tblCellMar>
        <w:tblLook w:val="0000" w:firstRow="0" w:lastRow="0" w:firstColumn="0" w:lastColumn="0" w:noHBand="0" w:noVBand="0"/>
      </w:tblPr>
      <w:tblGrid>
        <w:gridCol w:w="9360"/>
      </w:tblGrid>
      <w:tr w:rsidR="00164851" w14:paraId="0DDBFE98" w14:textId="77777777" w:rsidTr="00AB1A46">
        <w:tc>
          <w:tcPr>
            <w:tcW w:w="9360" w:type="dxa"/>
            <w:tcBorders>
              <w:bottom w:val="single" w:sz="8" w:space="0" w:color="auto"/>
            </w:tcBorders>
          </w:tcPr>
          <w:p w14:paraId="24AFF879" w14:textId="77777777" w:rsidR="00164851" w:rsidRDefault="00164851" w:rsidP="00AB1A46"/>
        </w:tc>
      </w:tr>
      <w:tr w:rsidR="00164851" w14:paraId="0B9AA4FE" w14:textId="77777777" w:rsidTr="00AB1A46">
        <w:tc>
          <w:tcPr>
            <w:tcW w:w="9360" w:type="dxa"/>
            <w:tcBorders>
              <w:top w:val="single" w:sz="8" w:space="0" w:color="auto"/>
            </w:tcBorders>
          </w:tcPr>
          <w:p w14:paraId="4BC2CF61" w14:textId="77777777" w:rsidR="00164851" w:rsidRDefault="00164851" w:rsidP="00AB1A46"/>
        </w:tc>
      </w:tr>
      <w:tr w:rsidR="00164851" w14:paraId="28A976D2" w14:textId="77777777" w:rsidTr="00AB1A46">
        <w:tc>
          <w:tcPr>
            <w:tcW w:w="9360" w:type="dxa"/>
          </w:tcPr>
          <w:p w14:paraId="46B85534" w14:textId="327F0760" w:rsidR="00164851" w:rsidRDefault="00040B44" w:rsidP="00AB1A46">
            <w:pPr>
              <w:pStyle w:val="zSoquijlblOpinionJuge"/>
            </w:pPr>
            <w:r>
              <w:t>MOTIFS DE LA JUGE</w:t>
            </w:r>
            <w:r w:rsidR="00164851">
              <w:t xml:space="preserve"> </w:t>
            </w:r>
            <w:r>
              <w:t>LACHANCE</w:t>
            </w:r>
          </w:p>
        </w:tc>
      </w:tr>
      <w:tr w:rsidR="00164851" w14:paraId="1F724B75" w14:textId="77777777" w:rsidTr="00AB1A46">
        <w:tc>
          <w:tcPr>
            <w:tcW w:w="9360" w:type="dxa"/>
            <w:tcBorders>
              <w:bottom w:val="single" w:sz="8" w:space="0" w:color="auto"/>
            </w:tcBorders>
          </w:tcPr>
          <w:p w14:paraId="08402258" w14:textId="77777777" w:rsidR="00164851" w:rsidRDefault="00164851" w:rsidP="00AB1A46"/>
        </w:tc>
      </w:tr>
      <w:tr w:rsidR="00164851" w14:paraId="7D614EEF" w14:textId="77777777" w:rsidTr="00AB1A46">
        <w:tc>
          <w:tcPr>
            <w:tcW w:w="9360" w:type="dxa"/>
            <w:tcBorders>
              <w:top w:val="single" w:sz="8" w:space="0" w:color="auto"/>
            </w:tcBorders>
          </w:tcPr>
          <w:p w14:paraId="7EC597E6" w14:textId="77777777" w:rsidR="00164851" w:rsidRDefault="00164851" w:rsidP="00AB1A46"/>
        </w:tc>
      </w:tr>
    </w:tbl>
    <w:p w14:paraId="191E14BF" w14:textId="26CB8E65" w:rsidR="00164851" w:rsidRPr="008778CF" w:rsidRDefault="002A7A49" w:rsidP="00164851">
      <w:pPr>
        <w:pStyle w:val="Paragraphe"/>
        <w:spacing w:before="240" w:line="280" w:lineRule="exact"/>
        <w:rPr>
          <w:color w:val="000000" w:themeColor="text1"/>
        </w:rPr>
      </w:pPr>
      <w:r w:rsidRPr="0076049D">
        <w:rPr>
          <w:color w:val="000000" w:themeColor="text1"/>
        </w:rPr>
        <w:t>Danyk Savoie (« l</w:t>
      </w:r>
      <w:r w:rsidR="00164851" w:rsidRPr="0076049D">
        <w:rPr>
          <w:color w:val="000000" w:themeColor="text1"/>
        </w:rPr>
        <w:t>’appelant</w:t>
      </w:r>
      <w:r w:rsidRPr="0076049D">
        <w:rPr>
          <w:color w:val="000000" w:themeColor="text1"/>
        </w:rPr>
        <w:t> »)</w:t>
      </w:r>
      <w:r w:rsidR="00164851" w:rsidRPr="0076049D">
        <w:rPr>
          <w:color w:val="000000" w:themeColor="text1"/>
        </w:rPr>
        <w:t xml:space="preserve"> se</w:t>
      </w:r>
      <w:r w:rsidR="00164851" w:rsidRPr="008778CF">
        <w:rPr>
          <w:color w:val="000000" w:themeColor="text1"/>
        </w:rPr>
        <w:t xml:space="preserve"> pourvoit contre un jugement rendu le 1</w:t>
      </w:r>
      <w:r w:rsidR="00164851" w:rsidRPr="008778CF">
        <w:rPr>
          <w:color w:val="000000" w:themeColor="text1"/>
          <w:vertAlign w:val="superscript"/>
        </w:rPr>
        <w:t>er</w:t>
      </w:r>
      <w:r>
        <w:rPr>
          <w:color w:val="000000" w:themeColor="text1"/>
        </w:rPr>
        <w:t> </w:t>
      </w:r>
      <w:r w:rsidR="00164851" w:rsidRPr="008778CF">
        <w:rPr>
          <w:color w:val="000000" w:themeColor="text1"/>
        </w:rPr>
        <w:t>mai</w:t>
      </w:r>
      <w:r>
        <w:rPr>
          <w:color w:val="000000" w:themeColor="text1"/>
        </w:rPr>
        <w:t> </w:t>
      </w:r>
      <w:r w:rsidR="00164851" w:rsidRPr="008778CF">
        <w:rPr>
          <w:color w:val="000000" w:themeColor="text1"/>
        </w:rPr>
        <w:t>2025, par l’honorable Nicolas Bigué-Turcotte de la Cour du Québec, district d’Abitibi, qui le déclare coupable d’agression sexuelle (al. 271</w:t>
      </w:r>
      <w:r w:rsidR="00164851" w:rsidRPr="008778CF">
        <w:rPr>
          <w:i/>
          <w:iCs/>
          <w:color w:val="000000" w:themeColor="text1"/>
        </w:rPr>
        <w:t>a</w:t>
      </w:r>
      <w:r w:rsidR="00164851" w:rsidRPr="008778CF">
        <w:rPr>
          <w:color w:val="000000" w:themeColor="text1"/>
        </w:rPr>
        <w:t xml:space="preserve">) </w:t>
      </w:r>
      <w:r w:rsidR="00164851" w:rsidRPr="008778CF">
        <w:rPr>
          <w:i/>
          <w:iCs/>
          <w:color w:val="000000" w:themeColor="text1"/>
        </w:rPr>
        <w:t>C.cr.</w:t>
      </w:r>
      <w:r w:rsidR="00164851" w:rsidRPr="008778CF">
        <w:rPr>
          <w:color w:val="000000" w:themeColor="text1"/>
        </w:rPr>
        <w:t>)</w:t>
      </w:r>
      <w:r w:rsidR="00164851" w:rsidRPr="008778CF">
        <w:rPr>
          <w:rStyle w:val="Appelnotedebasdep"/>
          <w:color w:val="000000" w:themeColor="text1"/>
        </w:rPr>
        <w:footnoteReference w:id="1"/>
      </w:r>
      <w:r w:rsidR="00164851" w:rsidRPr="008778CF">
        <w:rPr>
          <w:color w:val="000000" w:themeColor="text1"/>
        </w:rPr>
        <w:t>.</w:t>
      </w:r>
    </w:p>
    <w:p w14:paraId="320EA8D9" w14:textId="77777777" w:rsidR="00164851" w:rsidRPr="00560DB7" w:rsidRDefault="00164851" w:rsidP="00164851">
      <w:pPr>
        <w:pStyle w:val="Paragraphe"/>
        <w:spacing w:line="280" w:lineRule="exact"/>
      </w:pPr>
      <w:r w:rsidRPr="00560DB7">
        <w:t xml:space="preserve">Il </w:t>
      </w:r>
      <w:r w:rsidRPr="008778CF">
        <w:rPr>
          <w:color w:val="000000" w:themeColor="text1"/>
        </w:rPr>
        <w:t>invoque</w:t>
      </w:r>
      <w:r w:rsidRPr="00560DB7">
        <w:t xml:space="preserve"> </w:t>
      </w:r>
      <w:r>
        <w:t xml:space="preserve">le caractère déraisonnable de la déclaration de culpabilité, ainsi que </w:t>
      </w:r>
      <w:r w:rsidRPr="00560DB7">
        <w:t>différentes e</w:t>
      </w:r>
      <w:r w:rsidRPr="00560DB7">
        <w:rPr>
          <w:rFonts w:cs="Arial"/>
        </w:rPr>
        <w:t>rreurs de droit.</w:t>
      </w:r>
    </w:p>
    <w:p w14:paraId="77704EEA" w14:textId="77777777" w:rsidR="00164851" w:rsidRPr="00560DB7" w:rsidRDefault="00164851" w:rsidP="00164851">
      <w:pPr>
        <w:pStyle w:val="Paragraphe"/>
        <w:numPr>
          <w:ilvl w:val="0"/>
          <w:numId w:val="0"/>
        </w:numPr>
        <w:spacing w:before="240" w:after="240" w:line="280" w:lineRule="exact"/>
        <w:jc w:val="center"/>
      </w:pPr>
      <w:r w:rsidRPr="00560DB7">
        <w:t>*****</w:t>
      </w:r>
    </w:p>
    <w:p w14:paraId="2A906F27" w14:textId="77777777" w:rsidR="00164851" w:rsidRPr="00560DB7" w:rsidRDefault="00164851" w:rsidP="00164851">
      <w:pPr>
        <w:pStyle w:val="Paragraphe"/>
        <w:spacing w:line="280" w:lineRule="exact"/>
      </w:pPr>
      <w:r w:rsidRPr="00560DB7">
        <w:rPr>
          <w:rFonts w:cs="Arial"/>
        </w:rPr>
        <w:t xml:space="preserve">En </w:t>
      </w:r>
      <w:r w:rsidRPr="008778CF">
        <w:rPr>
          <w:color w:val="000000" w:themeColor="text1"/>
        </w:rPr>
        <w:t>juillet</w:t>
      </w:r>
      <w:r w:rsidRPr="00560DB7">
        <w:rPr>
          <w:rFonts w:cs="Arial"/>
        </w:rPr>
        <w:t xml:space="preserve"> 2022, la plaignante rencontre l’appelant dans un bar, où ils s’embrassent et festoient en buvant de l’alcool avec des amis. Le groupe </w:t>
      </w:r>
      <w:r>
        <w:rPr>
          <w:rFonts w:cs="Arial"/>
        </w:rPr>
        <w:t>se retrouve</w:t>
      </w:r>
      <w:r w:rsidRPr="00560DB7">
        <w:rPr>
          <w:rFonts w:cs="Arial"/>
        </w:rPr>
        <w:t xml:space="preserve"> ensuite à l’appartement de l’appelant et y reste jusque tard dans la nuit. Vers 3</w:t>
      </w:r>
      <w:r>
        <w:rPr>
          <w:rFonts w:cs="Arial"/>
        </w:rPr>
        <w:t xml:space="preserve"> </w:t>
      </w:r>
      <w:r w:rsidRPr="00560DB7">
        <w:rPr>
          <w:rFonts w:cs="Arial"/>
        </w:rPr>
        <w:t>h, la plaignante se rend à la salle de bain</w:t>
      </w:r>
      <w:r>
        <w:rPr>
          <w:rFonts w:cs="Arial"/>
        </w:rPr>
        <w:t>,</w:t>
      </w:r>
      <w:r w:rsidRPr="00560DB7">
        <w:rPr>
          <w:rFonts w:cs="Arial"/>
        </w:rPr>
        <w:t xml:space="preserve"> </w:t>
      </w:r>
      <w:r>
        <w:rPr>
          <w:rFonts w:cs="Arial"/>
        </w:rPr>
        <w:t xml:space="preserve">se </w:t>
      </w:r>
      <w:r w:rsidRPr="00560DB7">
        <w:rPr>
          <w:rFonts w:cs="Arial"/>
        </w:rPr>
        <w:t xml:space="preserve">croyant </w:t>
      </w:r>
      <w:r>
        <w:rPr>
          <w:rFonts w:cs="Arial"/>
        </w:rPr>
        <w:t>sur le point d’être</w:t>
      </w:r>
      <w:r w:rsidRPr="00422C3E">
        <w:rPr>
          <w:rFonts w:cs="Arial"/>
        </w:rPr>
        <w:t xml:space="preserve"> malade, ce qui ne sera</w:t>
      </w:r>
      <w:r w:rsidRPr="00560DB7">
        <w:rPr>
          <w:rFonts w:cs="Arial"/>
        </w:rPr>
        <w:t xml:space="preserve"> pas le cas. Elle retourne brièvement à la fête, qui se poursuit jusqu’aux petites heures du matin.</w:t>
      </w:r>
    </w:p>
    <w:p w14:paraId="020506A9" w14:textId="77777777" w:rsidR="00164851" w:rsidRPr="00560DB7" w:rsidRDefault="00164851" w:rsidP="00164851">
      <w:pPr>
        <w:pStyle w:val="Paragraphe"/>
        <w:spacing w:line="280" w:lineRule="exact"/>
      </w:pPr>
      <w:r w:rsidRPr="00560DB7">
        <w:rPr>
          <w:rFonts w:cs="Arial"/>
        </w:rPr>
        <w:t xml:space="preserve">La </w:t>
      </w:r>
      <w:r w:rsidRPr="008778CF">
        <w:rPr>
          <w:color w:val="000000" w:themeColor="text1"/>
        </w:rPr>
        <w:t>plaignante</w:t>
      </w:r>
      <w:r w:rsidRPr="00560DB7">
        <w:rPr>
          <w:rFonts w:cs="Arial"/>
        </w:rPr>
        <w:t xml:space="preserve"> va ensuite se coucher dans la chambre de l’appelant et </w:t>
      </w:r>
      <w:r w:rsidRPr="00272A7C">
        <w:rPr>
          <w:rFonts w:cs="Arial"/>
        </w:rPr>
        <w:t xml:space="preserve">se réveille </w:t>
      </w:r>
      <w:r w:rsidRPr="00F77CAD">
        <w:rPr>
          <w:rFonts w:cs="Arial"/>
        </w:rPr>
        <w:t>lorsqu’</w:t>
      </w:r>
      <w:r w:rsidRPr="00272A7C">
        <w:rPr>
          <w:rFonts w:cs="Arial"/>
        </w:rPr>
        <w:t>il la pénètre</w:t>
      </w:r>
      <w:r w:rsidRPr="00560DB7">
        <w:rPr>
          <w:rFonts w:cs="Arial"/>
        </w:rPr>
        <w:t xml:space="preserve"> vaginalement. Elle manifeste son désaccord et remarque qu’il n</w:t>
      </w:r>
      <w:r>
        <w:rPr>
          <w:rFonts w:cs="Arial"/>
        </w:rPr>
        <w:t>’</w:t>
      </w:r>
      <w:r w:rsidRPr="00560DB7">
        <w:rPr>
          <w:rFonts w:cs="Arial"/>
        </w:rPr>
        <w:t>a pas de préservatif. Il va s’en procurer un, afin de poursuivre la relation sexuelle. Elle s’y oppose, mais abdique devant son insistance.</w:t>
      </w:r>
    </w:p>
    <w:p w14:paraId="15DD2C8E" w14:textId="77777777" w:rsidR="00164851" w:rsidRPr="00560DB7" w:rsidRDefault="00164851" w:rsidP="00164851">
      <w:pPr>
        <w:pStyle w:val="Paragraphe"/>
        <w:spacing w:line="280" w:lineRule="exact"/>
      </w:pPr>
      <w:r w:rsidRPr="00560DB7">
        <w:t xml:space="preserve">Le </w:t>
      </w:r>
      <w:r w:rsidRPr="008778CF">
        <w:rPr>
          <w:color w:val="000000" w:themeColor="text1"/>
        </w:rPr>
        <w:t>lendemain</w:t>
      </w:r>
      <w:r w:rsidRPr="00560DB7">
        <w:t xml:space="preserve">, la plaignante quitte le domicile de l’appelant et l’embrasse. Elle se rend aussitôt à l’hôpital pour </w:t>
      </w:r>
      <w:r w:rsidRPr="00DA5C94">
        <w:t xml:space="preserve">les fins d’une </w:t>
      </w:r>
      <w:r w:rsidRPr="00F77CAD">
        <w:t>trousse médico-légale</w:t>
      </w:r>
      <w:r w:rsidRPr="00560DB7">
        <w:t>. L’appelant tente de la joindre sur le réseau social Snapchat, mais constate qu’elle l’a bloqué. Il réussit à la joindre par Instagram et l’informe qu’elle a oublié son sac à main chez lui. Le lendemain, il lui écrit sur Facebook : « Hey salut [</w:t>
      </w:r>
      <w:r>
        <w:t>É</w:t>
      </w:r>
      <w:r w:rsidRPr="00560DB7">
        <w:t>.], je m’excuse de te déranger, mais je me demandais si tu m’avais bloquer sur snap ? Je veux pas avoir l’air du gars lourd mais comme si vraiment tu veux pas qu’on se reparle ya aucun problème je comprend ca ! Mais j’ai l’impression que ya un malaise et je veux juste faire sur que tout est correct</w:t>
      </w:r>
      <w:r>
        <w:t> </w:t>
      </w:r>
      <w:r w:rsidRPr="00560DB7">
        <w:t>?</w:t>
      </w:r>
      <w:r>
        <w:t> </w:t>
      </w:r>
      <w:r w:rsidRPr="00560DB7">
        <w:t>»</w:t>
      </w:r>
      <w:r w:rsidRPr="00560DB7">
        <w:rPr>
          <w:rStyle w:val="Appelnotedebasdep"/>
        </w:rPr>
        <w:footnoteReference w:id="2"/>
      </w:r>
      <w:r w:rsidRPr="00560DB7">
        <w:t>.</w:t>
      </w:r>
    </w:p>
    <w:p w14:paraId="61030F0A" w14:textId="77777777" w:rsidR="00164851" w:rsidRPr="00560DB7" w:rsidRDefault="00164851" w:rsidP="00164851">
      <w:pPr>
        <w:pStyle w:val="Paragraphe"/>
        <w:spacing w:line="280" w:lineRule="exact"/>
      </w:pPr>
      <w:r w:rsidRPr="008778CF">
        <w:rPr>
          <w:color w:val="000000" w:themeColor="text1"/>
        </w:rPr>
        <w:t>Trois</w:t>
      </w:r>
      <w:r w:rsidRPr="00560DB7">
        <w:t xml:space="preserve"> amies présentes à la fête (Mirabelle Couture, Noémie Landry et Coralie</w:t>
      </w:r>
      <w:r>
        <w:t> </w:t>
      </w:r>
      <w:r w:rsidRPr="00560DB7">
        <w:t xml:space="preserve">Hardy) décrivent l’état d’intoxication de la plaignante, confirment qu’elle s’est rendue à la salle de bain chez l’appelant pendant la soirée et </w:t>
      </w:r>
      <w:r w:rsidRPr="00F77CAD">
        <w:t xml:space="preserve">qu’à un moment, elles ne la </w:t>
      </w:r>
      <w:r>
        <w:t xml:space="preserve">voyaient </w:t>
      </w:r>
      <w:r w:rsidRPr="00F77CAD">
        <w:t>plus.</w:t>
      </w:r>
    </w:p>
    <w:p w14:paraId="4D64E01A" w14:textId="77777777" w:rsidR="00164851" w:rsidRPr="00560DB7" w:rsidRDefault="00164851" w:rsidP="00164851">
      <w:pPr>
        <w:pStyle w:val="Paragraphe"/>
        <w:spacing w:line="280" w:lineRule="exact"/>
      </w:pPr>
      <w:r w:rsidRPr="00560DB7">
        <w:lastRenderedPageBreak/>
        <w:t xml:space="preserve">De </w:t>
      </w:r>
      <w:r w:rsidRPr="008778CF">
        <w:rPr>
          <w:color w:val="000000" w:themeColor="text1"/>
        </w:rPr>
        <w:t>son</w:t>
      </w:r>
      <w:r w:rsidRPr="00560DB7">
        <w:t xml:space="preserve"> côté, l’appelant témoigne que c’est la plaignante qui vient le rejoindre dans sa chambre, qu’il lui fait un cunnilingus </w:t>
      </w:r>
      <w:r w:rsidRPr="00560DB7">
        <w:rPr>
          <w:lang w:eastAsia="fr-CA"/>
        </w:rPr>
        <w:t>et qu’elle retire ses vêtements. À</w:t>
      </w:r>
      <w:r w:rsidRPr="00560DB7">
        <w:t xml:space="preserve"> sa demande, il va chercher un préservatif et ils ont un rapport sexuel, mais il affirme n’avoir pu maintenir son érection compte tenu de sa consommation d’alcool.</w:t>
      </w:r>
    </w:p>
    <w:p w14:paraId="31F62DBF" w14:textId="77777777" w:rsidR="00164851" w:rsidRPr="00560DB7" w:rsidRDefault="00164851" w:rsidP="00164851">
      <w:pPr>
        <w:pStyle w:val="Paragraphe"/>
        <w:numPr>
          <w:ilvl w:val="0"/>
          <w:numId w:val="0"/>
        </w:numPr>
        <w:spacing w:before="240" w:after="240" w:line="280" w:lineRule="exact"/>
        <w:jc w:val="center"/>
      </w:pPr>
      <w:r w:rsidRPr="00560DB7">
        <w:t>*****</w:t>
      </w:r>
    </w:p>
    <w:p w14:paraId="4C45CC3B" w14:textId="77777777" w:rsidR="00164851" w:rsidRPr="00560DB7" w:rsidRDefault="00164851" w:rsidP="00164851">
      <w:pPr>
        <w:pStyle w:val="Paragraphe"/>
        <w:spacing w:line="280" w:lineRule="exact"/>
      </w:pPr>
      <w:r w:rsidRPr="008778CF">
        <w:rPr>
          <w:color w:val="000000" w:themeColor="text1"/>
        </w:rPr>
        <w:t>L’allégation</w:t>
      </w:r>
      <w:r w:rsidRPr="00560DB7">
        <w:rPr>
          <w:rFonts w:cs="Arial"/>
        </w:rPr>
        <w:t xml:space="preserve"> </w:t>
      </w:r>
      <w:r>
        <w:rPr>
          <w:rFonts w:cs="Arial"/>
        </w:rPr>
        <w:t>de</w:t>
      </w:r>
      <w:r w:rsidRPr="00560DB7">
        <w:rPr>
          <w:rFonts w:cs="Arial"/>
        </w:rPr>
        <w:t xml:space="preserve"> verdict déraisonnable commande une réévaluation de la preuve, mais il s’agit d’une analyse limitée « pour décider si une déclaration de culpabilité raisonnable est exclue »</w:t>
      </w:r>
      <w:r w:rsidRPr="00560DB7">
        <w:rPr>
          <w:rStyle w:val="Appelnotedebasdep"/>
          <w:rFonts w:cs="Arial"/>
        </w:rPr>
        <w:footnoteReference w:id="3"/>
      </w:r>
      <w:r w:rsidRPr="00560DB7">
        <w:rPr>
          <w:rFonts w:cs="Arial"/>
        </w:rPr>
        <w:t xml:space="preserve">. La norme d’intervention est exigeante, en particulier </w:t>
      </w:r>
      <w:r w:rsidRPr="00560DB7">
        <w:t>lorsque la crédibilité est au cœur du débat</w:t>
      </w:r>
      <w:r w:rsidRPr="00560DB7">
        <w:rPr>
          <w:rFonts w:cs="Arial"/>
        </w:rPr>
        <w:t>.</w:t>
      </w:r>
    </w:p>
    <w:p w14:paraId="2CB8D717" w14:textId="77777777" w:rsidR="00164851" w:rsidRPr="00560DB7" w:rsidRDefault="00164851" w:rsidP="00164851">
      <w:pPr>
        <w:pStyle w:val="Paragraphe"/>
        <w:spacing w:line="280" w:lineRule="exact"/>
      </w:pPr>
      <w:r w:rsidRPr="00560DB7">
        <w:rPr>
          <w:rFonts w:cs="Arial"/>
        </w:rPr>
        <w:t xml:space="preserve">La </w:t>
      </w:r>
      <w:r w:rsidRPr="008778CF">
        <w:rPr>
          <w:color w:val="000000" w:themeColor="text1"/>
        </w:rPr>
        <w:t>question</w:t>
      </w:r>
      <w:r w:rsidRPr="00560DB7">
        <w:rPr>
          <w:rFonts w:cs="Arial"/>
        </w:rPr>
        <w:t xml:space="preserve"> n’est pas de savoir si la </w:t>
      </w:r>
      <w:r w:rsidRPr="00EB0155">
        <w:rPr>
          <w:rFonts w:cs="Arial"/>
        </w:rPr>
        <w:t>conclusion d</w:t>
      </w:r>
      <w:r>
        <w:rPr>
          <w:rFonts w:cs="Arial"/>
        </w:rPr>
        <w:t>e culpabilité sur le chef d’</w:t>
      </w:r>
      <w:r w:rsidRPr="00EB0155">
        <w:rPr>
          <w:rFonts w:cs="Arial"/>
        </w:rPr>
        <w:t>agression</w:t>
      </w:r>
      <w:r w:rsidRPr="00560DB7">
        <w:rPr>
          <w:rFonts w:cs="Arial"/>
        </w:rPr>
        <w:t xml:space="preserve"> sexuelle est la seule que le juge pouvait raisonnablement tirer compte tenu de la preuve administrée, mais plutôt « de savoir si cette conclusion trouve suffisamment appui dans la preuve et si elle est exempte d’erreur manifeste et déterminante »</w:t>
      </w:r>
      <w:r w:rsidRPr="00560DB7">
        <w:rPr>
          <w:rStyle w:val="Appelnotedebasdep"/>
          <w:rFonts w:cs="Arial"/>
        </w:rPr>
        <w:footnoteReference w:id="4"/>
      </w:r>
      <w:r w:rsidRPr="00560DB7">
        <w:rPr>
          <w:rFonts w:cs="Arial"/>
        </w:rPr>
        <w:t>.</w:t>
      </w:r>
    </w:p>
    <w:p w14:paraId="4A205729" w14:textId="77777777" w:rsidR="00164851" w:rsidRPr="00560DB7" w:rsidRDefault="00164851" w:rsidP="00164851">
      <w:pPr>
        <w:pStyle w:val="Paragraphe"/>
        <w:spacing w:line="280" w:lineRule="exact"/>
      </w:pPr>
      <w:r w:rsidRPr="008778CF">
        <w:rPr>
          <w:color w:val="000000" w:themeColor="text1"/>
        </w:rPr>
        <w:t>L’appelant</w:t>
      </w:r>
      <w:r w:rsidRPr="00560DB7">
        <w:t xml:space="preserve"> ne satisfait pas à ce fardeau, mais il </w:t>
      </w:r>
      <w:r>
        <w:t>relève</w:t>
      </w:r>
      <w:r w:rsidRPr="00560DB7">
        <w:t xml:space="preserve"> cependant deux erreurs de droit déterminantes dans l’analyse du juge d’instance.</w:t>
      </w:r>
    </w:p>
    <w:p w14:paraId="55BC9683" w14:textId="77777777" w:rsidR="00164851" w:rsidRPr="00560DB7" w:rsidRDefault="00164851" w:rsidP="00164851">
      <w:pPr>
        <w:pStyle w:val="Paragraphe"/>
        <w:spacing w:line="280" w:lineRule="exact"/>
      </w:pPr>
      <w:r w:rsidRPr="00560DB7">
        <w:t>D’une part, l’appelant reproche au juge d’avoir appliqué un double standard lors de l’analyse des témoignages et, dans ce contexte, de ne pas avoir traité d’éléments de preuve disculpatoires.</w:t>
      </w:r>
    </w:p>
    <w:p w14:paraId="3EE6F888" w14:textId="77777777" w:rsidR="00164851" w:rsidRPr="00560DB7" w:rsidRDefault="00164851" w:rsidP="00164851">
      <w:pPr>
        <w:pStyle w:val="Paragraphe"/>
        <w:spacing w:line="280" w:lineRule="exact"/>
      </w:pPr>
      <w:r w:rsidRPr="008778CF">
        <w:rPr>
          <w:color w:val="000000" w:themeColor="text1"/>
        </w:rPr>
        <w:t>L’appelant</w:t>
      </w:r>
      <w:r w:rsidRPr="00560DB7">
        <w:t xml:space="preserve"> donne </w:t>
      </w:r>
      <w:r>
        <w:t>l’</w:t>
      </w:r>
      <w:r w:rsidRPr="00560DB7">
        <w:t xml:space="preserve">exemple </w:t>
      </w:r>
      <w:r>
        <w:t>du</w:t>
      </w:r>
      <w:r w:rsidRPr="00560DB7">
        <w:t xml:space="preserve"> reproche du juge concernant sa description de </w:t>
      </w:r>
      <w:r w:rsidRPr="00560DB7">
        <w:rPr>
          <w:rFonts w:cs="Arial"/>
        </w:rPr>
        <w:t xml:space="preserve">la séquence des événements. L’appelant dit </w:t>
      </w:r>
      <w:r>
        <w:rPr>
          <w:rFonts w:cs="Arial"/>
        </w:rPr>
        <w:t>s’être</w:t>
      </w:r>
      <w:r w:rsidRPr="00560DB7">
        <w:rPr>
          <w:rFonts w:cs="Arial"/>
        </w:rPr>
        <w:t xml:space="preserve"> rendu dans sa chambre vers 3 h, que la plaignante l’a rejoint et qu’il est ressorti</w:t>
      </w:r>
      <w:r>
        <w:rPr>
          <w:rFonts w:cs="Arial"/>
        </w:rPr>
        <w:t>,</w:t>
      </w:r>
      <w:r w:rsidRPr="00560DB7">
        <w:rPr>
          <w:rFonts w:cs="Arial"/>
        </w:rPr>
        <w:t xml:space="preserve"> après lui avoir fait un cunnilingus</w:t>
      </w:r>
      <w:r>
        <w:rPr>
          <w:rFonts w:cs="Arial"/>
        </w:rPr>
        <w:t>,</w:t>
      </w:r>
      <w:r w:rsidRPr="00560DB7">
        <w:rPr>
          <w:rFonts w:cs="Arial"/>
        </w:rPr>
        <w:t xml:space="preserve"> pour aller chercher un préservatif, alors que tout le monde avait quitté l’appartement. Le juge y voit une contradiction avec la version de certains témoins</w:t>
      </w:r>
      <w:r>
        <w:rPr>
          <w:rFonts w:cs="Arial"/>
        </w:rPr>
        <w:t>,</w:t>
      </w:r>
      <w:r w:rsidRPr="00560DB7">
        <w:rPr>
          <w:rFonts w:cs="Arial"/>
        </w:rPr>
        <w:t xml:space="preserve"> qui disent avoir quitté les lieux seulement vers 4 h, 4 h 30 ou 5 h, alors que les témoins Couture et Landry affirment que la plaignante était dans la chambre de l’appelant, ou qu’elle a « disparu », aux alentours de 3 h</w:t>
      </w:r>
      <w:r w:rsidRPr="00560DB7">
        <w:rPr>
          <w:rStyle w:val="Appelnotedebasdep"/>
          <w:rFonts w:cs="Arial"/>
        </w:rPr>
        <w:footnoteReference w:id="5"/>
      </w:r>
      <w:r w:rsidRPr="00560DB7">
        <w:rPr>
          <w:rFonts w:cs="Arial"/>
        </w:rPr>
        <w:t xml:space="preserve">. Or, le juge n’a pas considéré </w:t>
      </w:r>
      <w:r w:rsidRPr="00F77CAD">
        <w:rPr>
          <w:rFonts w:cs="Arial"/>
        </w:rPr>
        <w:t>ces</w:t>
      </w:r>
      <w:r w:rsidRPr="00560DB7">
        <w:rPr>
          <w:rFonts w:cs="Arial"/>
        </w:rPr>
        <w:t xml:space="preserve"> témoignages qui, loin de contredire la version de l’appelant, tendent au contraire à l</w:t>
      </w:r>
      <w:r>
        <w:rPr>
          <w:rFonts w:cs="Arial"/>
        </w:rPr>
        <w:t>a</w:t>
      </w:r>
      <w:r w:rsidRPr="00560DB7">
        <w:rPr>
          <w:rFonts w:cs="Arial"/>
        </w:rPr>
        <w:t xml:space="preserve"> corroborer.</w:t>
      </w:r>
    </w:p>
    <w:p w14:paraId="3DD9442F" w14:textId="77777777" w:rsidR="00164851" w:rsidRPr="00560DB7" w:rsidRDefault="00164851" w:rsidP="00164851">
      <w:pPr>
        <w:pStyle w:val="Paragraphe"/>
        <w:spacing w:line="280" w:lineRule="exact"/>
      </w:pPr>
      <w:r w:rsidRPr="008778CF">
        <w:rPr>
          <w:color w:val="000000" w:themeColor="text1"/>
        </w:rPr>
        <w:t>L’appelant</w:t>
      </w:r>
      <w:r w:rsidRPr="00560DB7">
        <w:rPr>
          <w:rFonts w:cs="Arial"/>
        </w:rPr>
        <w:t xml:space="preserve"> renvoie aussi à d’autres portions de son témoignage qui auraient subi le même sort, soit celles</w:t>
      </w:r>
      <w:r w:rsidRPr="00560DB7">
        <w:t xml:space="preserve"> </w:t>
      </w:r>
      <w:r>
        <w:t>concernant</w:t>
      </w:r>
      <w:r w:rsidRPr="00560DB7">
        <w:t xml:space="preserve"> l’état d’intoxication de la plaignante, l’ordre dans lequel elle a retiré ses vêtements, l’heure précise où il </w:t>
      </w:r>
      <w:r>
        <w:t>a découvert</w:t>
      </w:r>
      <w:r w:rsidRPr="00560DB7">
        <w:t xml:space="preserve"> la sacoche de cette dernière ou </w:t>
      </w:r>
      <w:r>
        <w:t>le temps qu’il a mis pour</w:t>
      </w:r>
      <w:r w:rsidRPr="00560DB7">
        <w:t xml:space="preserve"> tenter de la contacter sur les réseaux sociaux.</w:t>
      </w:r>
    </w:p>
    <w:p w14:paraId="5319A38D" w14:textId="77777777" w:rsidR="00164851" w:rsidRPr="00560DB7" w:rsidRDefault="00164851" w:rsidP="00164851">
      <w:pPr>
        <w:pStyle w:val="Paragraphe"/>
        <w:spacing w:line="280" w:lineRule="exact"/>
      </w:pPr>
      <w:r w:rsidRPr="00560DB7">
        <w:lastRenderedPageBreak/>
        <w:t xml:space="preserve">S’il </w:t>
      </w:r>
      <w:r w:rsidRPr="008778CF">
        <w:rPr>
          <w:color w:val="000000" w:themeColor="text1"/>
        </w:rPr>
        <w:t>est</w:t>
      </w:r>
      <w:r w:rsidRPr="00560DB7">
        <w:t xml:space="preserve"> vrai que pour </w:t>
      </w:r>
      <w:r>
        <w:t>justifier une intervention de</w:t>
      </w:r>
      <w:r w:rsidRPr="00560DB7">
        <w:t xml:space="preserve"> la Cour, l’omission reprochée doit concerner un élément de preuve significatif se rapportant à la question ultime à trancher</w:t>
      </w:r>
      <w:r w:rsidRPr="00560DB7">
        <w:rPr>
          <w:rStyle w:val="Appelnotedebasdep"/>
        </w:rPr>
        <w:footnoteReference w:id="6"/>
      </w:r>
      <w:r w:rsidRPr="00560DB7">
        <w:t>, certains faits périphériques peuvent aussi contribuer à démontrer l’</w:t>
      </w:r>
      <w:r>
        <w:t>asymétrie de l’</w:t>
      </w:r>
      <w:r w:rsidRPr="00560DB7">
        <w:t>examen des témoignages. J’estime que c’est le cas en l’espèce. U</w:t>
      </w:r>
      <w:r w:rsidRPr="00560DB7">
        <w:rPr>
          <w:rFonts w:cs="Arial"/>
        </w:rPr>
        <w:t>n</w:t>
      </w:r>
      <w:r w:rsidRPr="00560DB7">
        <w:t xml:space="preserve"> examen inégal (ou selon un double standard) des témoignages de l’appelant et de la plaignante allant au-delà de la méthodologie est démontré, ce qui constitue une erreur de droit dans « les conclusions relatives à la crédibilité tirées par le juge du procès »</w:t>
      </w:r>
      <w:r w:rsidRPr="00560DB7">
        <w:rPr>
          <w:rStyle w:val="Appelnotedebasdep"/>
        </w:rPr>
        <w:footnoteReference w:id="7"/>
      </w:r>
      <w:r w:rsidRPr="00560DB7">
        <w:t>.</w:t>
      </w:r>
    </w:p>
    <w:p w14:paraId="19A44851" w14:textId="77777777" w:rsidR="00164851" w:rsidRPr="00560DB7" w:rsidRDefault="00164851" w:rsidP="00164851">
      <w:pPr>
        <w:pStyle w:val="Paragraphe"/>
        <w:spacing w:line="280" w:lineRule="exact"/>
      </w:pPr>
      <w:r w:rsidRPr="00560DB7">
        <w:t xml:space="preserve">Ce </w:t>
      </w:r>
      <w:r w:rsidRPr="008778CF">
        <w:rPr>
          <w:color w:val="000000" w:themeColor="text1"/>
        </w:rPr>
        <w:t>constat</w:t>
      </w:r>
      <w:r w:rsidRPr="00560DB7">
        <w:t xml:space="preserve"> ressort en effet des 25 pages de transcription du jugement rendu oralement. Parmi celles-ci, 14 pages passent au peigne fin le témoignage de l’appelant</w:t>
      </w:r>
      <w:r w:rsidRPr="00560DB7">
        <w:rPr>
          <w:rStyle w:val="Appelnotedebasdep"/>
        </w:rPr>
        <w:footnoteReference w:id="8"/>
      </w:r>
      <w:r w:rsidRPr="00560DB7">
        <w:t>, alors que seule</w:t>
      </w:r>
      <w:r>
        <w:t>s</w:t>
      </w:r>
      <w:r w:rsidRPr="00560DB7">
        <w:t xml:space="preserve"> 3 pages résument la version de la plaignante, sans vraiment l’analyser</w:t>
      </w:r>
      <w:r w:rsidRPr="00560DB7">
        <w:rPr>
          <w:rStyle w:val="Appelnotedebasdep"/>
        </w:rPr>
        <w:footnoteReference w:id="9"/>
      </w:r>
      <w:r w:rsidRPr="00560DB7">
        <w:t>.</w:t>
      </w:r>
    </w:p>
    <w:p w14:paraId="4E771B13" w14:textId="77777777" w:rsidR="00164851" w:rsidRPr="00560DB7" w:rsidRDefault="00164851" w:rsidP="00164851">
      <w:pPr>
        <w:pStyle w:val="Paragraphe"/>
        <w:spacing w:line="280" w:lineRule="exact"/>
      </w:pPr>
      <w:r w:rsidRPr="008778CF">
        <w:rPr>
          <w:color w:val="000000" w:themeColor="text1"/>
        </w:rPr>
        <w:t>Évidemment</w:t>
      </w:r>
      <w:r w:rsidRPr="00560DB7">
        <w:t>, « une démonstration convaincante [de double standard] n’est pas le résultat d’un exercice arithmétique où le nombre de mots utilisés pour commenter le témoignage de l’un est comparé à celui utilisé pour l’autre »</w:t>
      </w:r>
      <w:r w:rsidRPr="00560DB7">
        <w:rPr>
          <w:rStyle w:val="Appelnotedebasdep"/>
        </w:rPr>
        <w:footnoteReference w:id="10"/>
      </w:r>
      <w:r w:rsidRPr="00560DB7">
        <w:t>.</w:t>
      </w:r>
    </w:p>
    <w:p w14:paraId="4A5684F7" w14:textId="77777777" w:rsidR="00164851" w:rsidRPr="00560DB7" w:rsidRDefault="00164851" w:rsidP="00164851">
      <w:pPr>
        <w:pStyle w:val="Paragraphe"/>
        <w:spacing w:line="280" w:lineRule="exact"/>
      </w:pPr>
      <w:r w:rsidRPr="008778CF">
        <w:rPr>
          <w:color w:val="000000" w:themeColor="text1"/>
        </w:rPr>
        <w:t>Mais</w:t>
      </w:r>
      <w:r w:rsidRPr="00560DB7">
        <w:t xml:space="preserve"> </w:t>
      </w:r>
      <w:r w:rsidRPr="008778CF">
        <w:rPr>
          <w:color w:val="000000" w:themeColor="text1"/>
        </w:rPr>
        <w:t>les</w:t>
      </w:r>
      <w:r w:rsidRPr="00560DB7">
        <w:t xml:space="preserve"> motifs du juge sont non équivoques à cet égard.</w:t>
      </w:r>
    </w:p>
    <w:p w14:paraId="7437C222" w14:textId="77777777" w:rsidR="00164851" w:rsidRPr="00560DB7" w:rsidRDefault="00164851" w:rsidP="00164851">
      <w:pPr>
        <w:pStyle w:val="Paragraphe"/>
        <w:spacing w:line="280" w:lineRule="exact"/>
      </w:pPr>
      <w:r w:rsidRPr="008778CF">
        <w:rPr>
          <w:color w:val="000000" w:themeColor="text1"/>
        </w:rPr>
        <w:t>Ainsi</w:t>
      </w:r>
      <w:r w:rsidRPr="00560DB7">
        <w:t xml:space="preserve">, le juge entame la première étape </w:t>
      </w:r>
      <w:r>
        <w:t>de l</w:t>
      </w:r>
      <w:r w:rsidRPr="00560DB7">
        <w:t xml:space="preserve">’analyse </w:t>
      </w:r>
      <w:r>
        <w:t xml:space="preserve">selon le cadre </w:t>
      </w:r>
      <w:r w:rsidRPr="00560DB7">
        <w:t xml:space="preserve">énoncé dans </w:t>
      </w:r>
      <w:r w:rsidRPr="00560DB7">
        <w:rPr>
          <w:i/>
          <w:iCs/>
        </w:rPr>
        <w:t>W.(D.)</w:t>
      </w:r>
      <w:r w:rsidRPr="00560DB7">
        <w:rPr>
          <w:rStyle w:val="Appelnotedebasdep"/>
        </w:rPr>
        <w:footnoteReference w:id="11"/>
      </w:r>
      <w:r w:rsidRPr="00560DB7">
        <w:t xml:space="preserve"> en divisant par thèmes le récit de l’appelant : (1) « La consommation de la plaignante »; (2) « L</w:t>
      </w:r>
      <w:r>
        <w:t>’</w:t>
      </w:r>
      <w:r w:rsidRPr="00560DB7">
        <w:t>accusé face à sa propre consommation d</w:t>
      </w:r>
      <w:r>
        <w:t>’</w:t>
      </w:r>
      <w:r w:rsidRPr="00560DB7">
        <w:t>alcool »; (3) « Les réseaux sociaux »; (4) « La fin de soirée »; (5) « La plaignante lors des gestes à caractère sexuel »; et (6) « Les gestes de nature sexuelle ».</w:t>
      </w:r>
    </w:p>
    <w:p w14:paraId="1A1F7A5B" w14:textId="77777777" w:rsidR="00164851" w:rsidRPr="00560DB7" w:rsidRDefault="00164851" w:rsidP="00164851">
      <w:pPr>
        <w:pStyle w:val="Paragraphe"/>
        <w:spacing w:line="280" w:lineRule="exact"/>
      </w:pPr>
      <w:r w:rsidRPr="008778CF">
        <w:rPr>
          <w:color w:val="000000" w:themeColor="text1"/>
        </w:rPr>
        <w:t>Le</w:t>
      </w:r>
      <w:r w:rsidRPr="00560DB7">
        <w:t xml:space="preserve"> témoignage de la plaignante ne subit pas le même traitement. J’y reviendrai.</w:t>
      </w:r>
    </w:p>
    <w:p w14:paraId="44A5AD08" w14:textId="77777777" w:rsidR="00164851" w:rsidRPr="00560DB7" w:rsidRDefault="00164851" w:rsidP="00164851">
      <w:pPr>
        <w:pStyle w:val="Paragraphe"/>
        <w:spacing w:line="280" w:lineRule="exact"/>
      </w:pPr>
      <w:r w:rsidRPr="00560DB7">
        <w:t xml:space="preserve">Au </w:t>
      </w:r>
      <w:r w:rsidRPr="008778CF">
        <w:rPr>
          <w:color w:val="000000" w:themeColor="text1"/>
        </w:rPr>
        <w:t>terme</w:t>
      </w:r>
      <w:r w:rsidRPr="00560DB7">
        <w:t xml:space="preserve"> de chacune de ces sections</w:t>
      </w:r>
      <w:r>
        <w:t>,</w:t>
      </w:r>
      <w:r w:rsidRPr="00560DB7">
        <w:t xml:space="preserve"> qui passent en revue tous les angles du témoignage de l’appelant, le juge </w:t>
      </w:r>
      <w:r>
        <w:t>dit</w:t>
      </w:r>
      <w:r w:rsidRPr="00560DB7">
        <w:t xml:space="preserve">, dans chacun des cas, que « </w:t>
      </w:r>
      <w:r>
        <w:t>l</w:t>
      </w:r>
      <w:r w:rsidRPr="00560DB7">
        <w:t>a crédibilité</w:t>
      </w:r>
      <w:r>
        <w:t xml:space="preserve"> [de l’appelant]</w:t>
      </w:r>
      <w:r w:rsidRPr="00560DB7">
        <w:t xml:space="preserve"> s’en trouve fortement affectée »</w:t>
      </w:r>
      <w:r w:rsidRPr="00560DB7">
        <w:rPr>
          <w:rStyle w:val="Appelnotedebasdep"/>
        </w:rPr>
        <w:footnoteReference w:id="12"/>
      </w:r>
      <w:r w:rsidRPr="00560DB7">
        <w:t xml:space="preserve"> ou que « [l]e Tribunal y voit une contradiction</w:t>
      </w:r>
      <w:r>
        <w:t> </w:t>
      </w:r>
      <w:r w:rsidRPr="00560DB7">
        <w:t>»</w:t>
      </w:r>
      <w:r w:rsidRPr="00560DB7">
        <w:rPr>
          <w:rStyle w:val="Appelnotedebasdep"/>
        </w:rPr>
        <w:footnoteReference w:id="13"/>
      </w:r>
      <w:r w:rsidRPr="00560DB7">
        <w:t xml:space="preserve"> ou </w:t>
      </w:r>
      <w:r>
        <w:t xml:space="preserve">une </w:t>
      </w:r>
      <w:r w:rsidRPr="00560DB7">
        <w:t>autre phrase semblable</w:t>
      </w:r>
      <w:r w:rsidRPr="00560DB7">
        <w:rPr>
          <w:rStyle w:val="Appelnotedebasdep"/>
        </w:rPr>
        <w:footnoteReference w:id="14"/>
      </w:r>
      <w:r w:rsidRPr="00560DB7">
        <w:t>. Toute différence ou discordance, même menue et même périphérique</w:t>
      </w:r>
      <w:r>
        <w:t>,</w:t>
      </w:r>
      <w:r w:rsidRPr="00560DB7">
        <w:t xml:space="preserve"> donne prise à un constat de contradiction.</w:t>
      </w:r>
    </w:p>
    <w:p w14:paraId="22EBD9AF" w14:textId="77777777" w:rsidR="00164851" w:rsidRPr="00560DB7" w:rsidRDefault="00164851" w:rsidP="00164851">
      <w:pPr>
        <w:pStyle w:val="Paragraphe"/>
        <w:spacing w:line="280" w:lineRule="exact"/>
      </w:pPr>
      <w:r w:rsidRPr="008778CF">
        <w:rPr>
          <w:color w:val="000000" w:themeColor="text1"/>
        </w:rPr>
        <w:t>Certes</w:t>
      </w:r>
      <w:r w:rsidRPr="00560DB7">
        <w:rPr>
          <w:rFonts w:cs="Arial"/>
        </w:rPr>
        <w:t xml:space="preserve">, l’évaluation de la preuve relève du juge du procès et mérite déférence, mais cela devient problématique lorsqu’il ressort de la facture générale du jugement que le </w:t>
      </w:r>
      <w:r w:rsidRPr="00560DB7">
        <w:t xml:space="preserve">juge semble se donner pour mission de décortiquer le témoignage de l’appelant afin </w:t>
      </w:r>
      <w:r w:rsidRPr="00560DB7">
        <w:lastRenderedPageBreak/>
        <w:t>d’y déceler toutes les raisons possibles de ne pas le croire et de surcro</w:t>
      </w:r>
      <w:r>
        <w:t>î</w:t>
      </w:r>
      <w:r w:rsidRPr="00560DB7">
        <w:t xml:space="preserve">t, lorsqu’il omet de faire </w:t>
      </w:r>
      <w:r>
        <w:t>de même à l’égard</w:t>
      </w:r>
      <w:r w:rsidRPr="00560DB7">
        <w:t xml:space="preserve"> des autres témoins et notamment de la personne plaignante.</w:t>
      </w:r>
    </w:p>
    <w:p w14:paraId="4D0AD6E1" w14:textId="77777777" w:rsidR="00164851" w:rsidRPr="00560DB7" w:rsidRDefault="00164851" w:rsidP="00164851">
      <w:pPr>
        <w:pStyle w:val="Paragraphe"/>
        <w:spacing w:line="280" w:lineRule="exact"/>
      </w:pPr>
      <w:r w:rsidRPr="00560DB7">
        <w:t xml:space="preserve">Il </w:t>
      </w:r>
      <w:r w:rsidRPr="008778CF">
        <w:rPr>
          <w:color w:val="000000" w:themeColor="text1"/>
        </w:rPr>
        <w:t>est</w:t>
      </w:r>
      <w:r w:rsidRPr="00560DB7">
        <w:t xml:space="preserve"> bien établi, « [qu’u]ne preuve ou un témoignage n’est pas un fait en soi. Les témoins déposent au sujet de leurs observations et de leurs expériences et il est loisible au juge des faits de tenir un témoignage pour avéré en totalité ou en partie, ou de l’écarter complètement »</w:t>
      </w:r>
      <w:r w:rsidRPr="00560DB7">
        <w:rPr>
          <w:rStyle w:val="Appelnotedebasdep"/>
        </w:rPr>
        <w:footnoteReference w:id="15"/>
      </w:r>
      <w:r w:rsidRPr="00560DB7">
        <w:t>.</w:t>
      </w:r>
    </w:p>
    <w:p w14:paraId="33E25A71" w14:textId="77777777" w:rsidR="00164851" w:rsidRPr="00560DB7" w:rsidRDefault="00164851" w:rsidP="00164851">
      <w:pPr>
        <w:pStyle w:val="Paragraphe"/>
        <w:spacing w:line="280" w:lineRule="exact"/>
        <w:rPr>
          <w:b/>
        </w:rPr>
      </w:pPr>
      <w:r w:rsidRPr="00560DB7">
        <w:t xml:space="preserve">Par </w:t>
      </w:r>
      <w:r w:rsidRPr="008778CF">
        <w:rPr>
          <w:color w:val="000000" w:themeColor="text1"/>
        </w:rPr>
        <w:t>ailleurs</w:t>
      </w:r>
      <w:r w:rsidRPr="00560DB7">
        <w:t>, il n’est pas inutile de rappeler que l’évaluation de « la crédibilité ne relève pas de la science exacte »</w:t>
      </w:r>
      <w:r w:rsidRPr="00560DB7">
        <w:rPr>
          <w:rStyle w:val="Appelnotedebasdep"/>
        </w:rPr>
        <w:footnoteReference w:id="16"/>
      </w:r>
      <w:r w:rsidRPr="00560DB7">
        <w:t>. Cela dit, à l’instar du témoignage d’une victime, qui n’a pas à être parfait</w:t>
      </w:r>
      <w:r w:rsidRPr="00560DB7">
        <w:rPr>
          <w:rStyle w:val="Appelnotedebasdep"/>
        </w:rPr>
        <w:footnoteReference w:id="17"/>
      </w:r>
      <w:r w:rsidRPr="00560DB7">
        <w:t>, il ne saurait certes en être autrement de celui d’un accusé.</w:t>
      </w:r>
    </w:p>
    <w:p w14:paraId="0DB47FB0" w14:textId="77777777" w:rsidR="00164851" w:rsidRPr="00560DB7" w:rsidRDefault="00164851" w:rsidP="00164851">
      <w:pPr>
        <w:pStyle w:val="Paragraphe"/>
        <w:spacing w:line="280" w:lineRule="exact"/>
      </w:pPr>
      <w:r w:rsidRPr="00560DB7">
        <w:t>Le rôle du juge du procès n’est pas de scruter chaque repli d’un témoignage à la recherche de</w:t>
      </w:r>
      <w:r>
        <w:t xml:space="preserve"> la moindre</w:t>
      </w:r>
      <w:r w:rsidRPr="00560DB7">
        <w:t xml:space="preserve"> divergence ou contradiction</w:t>
      </w:r>
      <w:r>
        <w:t>,</w:t>
      </w:r>
      <w:r w:rsidRPr="00560DB7">
        <w:t xml:space="preserve"> et ce, dans le but de l’écarter. Une telle analyse microscopique risque de faire bifurquer l’évaluation de la preuve vers des éléments périphériques à l’essence du litige, qui consiste dans tous les cas à décider si le ministère public a démontré la culpabilité de l’accusé hors de tout doute raisonnable.</w:t>
      </w:r>
    </w:p>
    <w:p w14:paraId="60934639" w14:textId="77777777" w:rsidR="00164851" w:rsidRPr="00560DB7" w:rsidRDefault="00164851" w:rsidP="00164851">
      <w:pPr>
        <w:pStyle w:val="Paragraphe"/>
        <w:spacing w:line="280" w:lineRule="exact"/>
      </w:pPr>
      <w:r w:rsidRPr="00560DB7">
        <w:t xml:space="preserve">Cela découle de la présomption d’innocence, cette </w:t>
      </w:r>
      <w:r w:rsidRPr="00560DB7">
        <w:rPr>
          <w:color w:val="000000"/>
        </w:rPr>
        <w:t xml:space="preserve">protection constitutionnelle </w:t>
      </w:r>
      <w:r w:rsidRPr="00560DB7">
        <w:t xml:space="preserve">qui constitue un principe cardinal </w:t>
      </w:r>
      <w:r w:rsidRPr="00560DB7">
        <w:rPr>
          <w:color w:val="000000"/>
        </w:rPr>
        <w:t>du droit criminel canadien</w:t>
      </w:r>
      <w:r w:rsidRPr="00560DB7">
        <w:rPr>
          <w:rStyle w:val="Appelnotedebasdep"/>
          <w:color w:val="000000"/>
        </w:rPr>
        <w:footnoteReference w:id="18"/>
      </w:r>
      <w:r w:rsidRPr="00560DB7">
        <w:rPr>
          <w:color w:val="000000"/>
        </w:rPr>
        <w:t>.</w:t>
      </w:r>
    </w:p>
    <w:p w14:paraId="0CF9D6E5" w14:textId="77777777" w:rsidR="00164851" w:rsidRPr="00560DB7" w:rsidRDefault="00164851" w:rsidP="00164851">
      <w:pPr>
        <w:pStyle w:val="Paragraphe"/>
        <w:spacing w:line="280" w:lineRule="exact"/>
      </w:pPr>
      <w:r w:rsidRPr="00560DB7">
        <w:t xml:space="preserve">En outre, la deuxième étape de l’analyse décrite dans l’arrêt </w:t>
      </w:r>
      <w:r w:rsidRPr="00560DB7">
        <w:rPr>
          <w:i/>
          <w:iCs/>
        </w:rPr>
        <w:t>W.(D.)</w:t>
      </w:r>
      <w:r w:rsidRPr="00560DB7">
        <w:t xml:space="preserve"> implique </w:t>
      </w:r>
      <w:r>
        <w:t>pour</w:t>
      </w:r>
      <w:r w:rsidRPr="00560DB7">
        <w:t xml:space="preserve"> le juge qui ne croit pas le témoignage de l’accusé </w:t>
      </w:r>
      <w:r>
        <w:t>de</w:t>
      </w:r>
      <w:r w:rsidRPr="00560DB7">
        <w:t xml:space="preserve"> néanmoins se demander si ce témoignage, quoiqu’il ne soit pas cru, est de nature à laisser subsister un doute raisonnable dans son esprit.</w:t>
      </w:r>
    </w:p>
    <w:p w14:paraId="67B5CF07" w14:textId="77777777" w:rsidR="00164851" w:rsidRPr="00560DB7" w:rsidRDefault="00164851" w:rsidP="00164851">
      <w:pPr>
        <w:pStyle w:val="Paragraphe"/>
        <w:spacing w:line="280" w:lineRule="exact"/>
      </w:pPr>
      <w:r w:rsidRPr="008778CF">
        <w:rPr>
          <w:color w:val="000000" w:themeColor="text1"/>
        </w:rPr>
        <w:t>Dans</w:t>
      </w:r>
      <w:r w:rsidRPr="00560DB7">
        <w:t xml:space="preserve"> l’arrêt </w:t>
      </w:r>
      <w:r w:rsidRPr="00560DB7">
        <w:rPr>
          <w:i/>
          <w:iCs/>
        </w:rPr>
        <w:t>Lifchus</w:t>
      </w:r>
      <w:r w:rsidRPr="00560DB7">
        <w:t xml:space="preserve">, la Cour suprême a clairement </w:t>
      </w:r>
      <w:r>
        <w:t>précisé</w:t>
      </w:r>
      <w:r w:rsidRPr="00560DB7">
        <w:t xml:space="preserve"> qu’une preuve démontrant que l’accusé est « probablement ou vraisemblablement coupable » est insuffisante pour prononcer une condamnation</w:t>
      </w:r>
      <w:r w:rsidRPr="00560DB7">
        <w:rPr>
          <w:rStyle w:val="Appelnotedebasdep"/>
        </w:rPr>
        <w:footnoteReference w:id="19"/>
      </w:r>
      <w:r w:rsidRPr="00560DB7">
        <w:t>.</w:t>
      </w:r>
    </w:p>
    <w:p w14:paraId="44D43674" w14:textId="77777777" w:rsidR="00164851" w:rsidRPr="00560DB7" w:rsidRDefault="00164851" w:rsidP="00164851">
      <w:pPr>
        <w:pStyle w:val="Paragraphe"/>
        <w:spacing w:line="280" w:lineRule="exact"/>
      </w:pPr>
      <w:r w:rsidRPr="00560DB7">
        <w:t xml:space="preserve">Le </w:t>
      </w:r>
      <w:r w:rsidRPr="008778CF">
        <w:rPr>
          <w:color w:val="000000" w:themeColor="text1"/>
        </w:rPr>
        <w:t>danger</w:t>
      </w:r>
      <w:r w:rsidRPr="00560DB7">
        <w:t xml:space="preserve"> de l’évaluation inégale des témoignages est donc de porter atteinte à la présomption d’innocence. Ce malheureux exercice se révèle dans le jugement entrepris où, après avoir scruté le témoignage de l’appelant, le juge limite essentiellement l’évaluation de celui de la plaignante à un énoncé de sa version des faits. Il qualifie son récit d’honnête et candide, et termine cette portion de l’analyse en disant que la version de la plaignante « est en grande partie compatible avec l’ensemble de la preuve recueillie »</w:t>
      </w:r>
      <w:r w:rsidRPr="00560DB7">
        <w:rPr>
          <w:rStyle w:val="Appelnotedebasdep"/>
        </w:rPr>
        <w:footnoteReference w:id="20"/>
      </w:r>
      <w:r w:rsidRPr="00560DB7">
        <w:t>.</w:t>
      </w:r>
    </w:p>
    <w:p w14:paraId="1C39E419" w14:textId="77777777" w:rsidR="00164851" w:rsidRPr="00560DB7" w:rsidRDefault="00164851" w:rsidP="00164851">
      <w:pPr>
        <w:pStyle w:val="Paragraphe"/>
        <w:spacing w:line="280" w:lineRule="exact"/>
      </w:pPr>
      <w:r w:rsidRPr="008778CF">
        <w:rPr>
          <w:color w:val="000000" w:themeColor="text1"/>
        </w:rPr>
        <w:lastRenderedPageBreak/>
        <w:t>Pourtant</w:t>
      </w:r>
      <w:r w:rsidRPr="00560DB7">
        <w:rPr>
          <w:rFonts w:cs="Arial"/>
        </w:rPr>
        <w:t>, le juge ne porte pas attention aux témoignages de Couture et Landry</w:t>
      </w:r>
      <w:r>
        <w:rPr>
          <w:rFonts w:cs="Arial"/>
        </w:rPr>
        <w:t>,</w:t>
      </w:r>
      <w:r w:rsidRPr="00560DB7">
        <w:rPr>
          <w:rFonts w:cs="Arial"/>
        </w:rPr>
        <w:t xml:space="preserve"> qui apportent une vision différente de l’état d’intoxication </w:t>
      </w:r>
      <w:r>
        <w:rPr>
          <w:rFonts w:cs="Arial"/>
        </w:rPr>
        <w:t>allégué</w:t>
      </w:r>
      <w:r w:rsidRPr="00560DB7">
        <w:rPr>
          <w:rFonts w:cs="Arial"/>
        </w:rPr>
        <w:t xml:space="preserve"> par la plaignante, question pertinente au consentement</w:t>
      </w:r>
      <w:r w:rsidRPr="00560DB7">
        <w:rPr>
          <w:rStyle w:val="Appelnotedebasdep"/>
        </w:rPr>
        <w:footnoteReference w:id="21"/>
      </w:r>
      <w:r w:rsidRPr="00560DB7">
        <w:rPr>
          <w:rFonts w:cs="Arial"/>
        </w:rPr>
        <w:t>. Qui plus est, ces témoignages vont dans le sens de celui de l’appelant, mais le juge est d’avis que sa version à ce sujet est évolutive et contredite par la preuve</w:t>
      </w:r>
      <w:r w:rsidRPr="00560DB7">
        <w:rPr>
          <w:rStyle w:val="Appelnotedebasdep"/>
          <w:rFonts w:cs="Arial"/>
        </w:rPr>
        <w:footnoteReference w:id="22"/>
      </w:r>
      <w:r w:rsidRPr="00560DB7">
        <w:rPr>
          <w:rFonts w:cs="Arial"/>
        </w:rPr>
        <w:t>. Pour arriver à cette conclusion, il souligne ceci </w:t>
      </w:r>
      <w:r w:rsidRPr="00560DB7">
        <w:t>:</w:t>
      </w:r>
    </w:p>
    <w:p w14:paraId="73F05265" w14:textId="77777777" w:rsidR="00164851" w:rsidRPr="00560DB7" w:rsidRDefault="00164851" w:rsidP="00164851">
      <w:pPr>
        <w:pStyle w:val="Citationenretrait"/>
      </w:pPr>
      <w:r w:rsidRPr="00560DB7">
        <w:t xml:space="preserve">La description faite par l’accusé de l’état de la plaignante est évolutive et contradictoire. De plus, elle est contredite par les autres éléments de preuve entendus. </w:t>
      </w:r>
      <w:r w:rsidRPr="00560DB7">
        <w:rPr>
          <w:u w:val="single"/>
        </w:rPr>
        <w:t>La plaignante elle-même décrira un état d’ébriété avancé</w:t>
      </w:r>
      <w:r w:rsidRPr="00560DB7">
        <w:t xml:space="preserve"> au moment où elle se dirige vers la salle de bain et par la suite.</w:t>
      </w:r>
      <w:r w:rsidRPr="00560DB7">
        <w:rPr>
          <w:rStyle w:val="Appelnotedebasdep"/>
          <w:szCs w:val="22"/>
        </w:rPr>
        <w:footnoteReference w:id="23"/>
      </w:r>
    </w:p>
    <w:p w14:paraId="6595D930" w14:textId="77777777" w:rsidR="00164851" w:rsidRPr="00560DB7" w:rsidRDefault="00164851" w:rsidP="00164851">
      <w:pPr>
        <w:pStyle w:val="Paragraphe"/>
        <w:numPr>
          <w:ilvl w:val="0"/>
          <w:numId w:val="0"/>
        </w:numPr>
        <w:spacing w:before="0" w:line="240" w:lineRule="auto"/>
        <w:ind w:left="425" w:right="715"/>
        <w:jc w:val="right"/>
        <w:rPr>
          <w:sz w:val="22"/>
          <w:szCs w:val="22"/>
        </w:rPr>
      </w:pPr>
      <w:r w:rsidRPr="00560DB7">
        <w:rPr>
          <w:sz w:val="22"/>
          <w:szCs w:val="22"/>
        </w:rPr>
        <w:t>[Soulignement ajouté]</w:t>
      </w:r>
    </w:p>
    <w:p w14:paraId="40B9E0E0" w14:textId="77777777" w:rsidR="00164851" w:rsidRPr="00560DB7" w:rsidRDefault="00164851" w:rsidP="00164851">
      <w:pPr>
        <w:pStyle w:val="Paragraphe"/>
        <w:spacing w:before="240" w:line="280" w:lineRule="exact"/>
      </w:pPr>
      <w:r w:rsidRPr="00560DB7">
        <w:rPr>
          <w:rFonts w:cs="Arial"/>
        </w:rPr>
        <w:t xml:space="preserve">Cette façon de confronter le témoignage de l’appelant à celui de la plaignante, afin de </w:t>
      </w:r>
      <w:r w:rsidRPr="008778CF">
        <w:rPr>
          <w:color w:val="000000" w:themeColor="text1"/>
        </w:rPr>
        <w:t>décider</w:t>
      </w:r>
      <w:r w:rsidRPr="00560DB7">
        <w:rPr>
          <w:rFonts w:cs="Arial"/>
        </w:rPr>
        <w:t xml:space="preserve"> s’il le croit ou non, ressort aussi de la courte portion du jugement où </w:t>
      </w:r>
      <w:r w:rsidRPr="00560DB7">
        <w:t>les gestes à caractère sexuel sont abordés</w:t>
      </w:r>
      <w:r>
        <w:t>. L</w:t>
      </w:r>
      <w:r w:rsidRPr="00560DB7">
        <w:t>e juge s’</w:t>
      </w:r>
      <w:r>
        <w:t xml:space="preserve">y </w:t>
      </w:r>
      <w:r w:rsidRPr="00560DB7">
        <w:t>exprime ainsi :</w:t>
      </w:r>
    </w:p>
    <w:p w14:paraId="35F4D46E" w14:textId="77777777" w:rsidR="00164851" w:rsidRPr="00560DB7" w:rsidRDefault="00164851" w:rsidP="00164851">
      <w:pPr>
        <w:pStyle w:val="Citationenretrait"/>
      </w:pPr>
      <w:r w:rsidRPr="00560DB7">
        <w:t>L</w:t>
      </w:r>
      <w:r>
        <w:t>’</w:t>
      </w:r>
      <w:r w:rsidRPr="00560DB7">
        <w:t>accusé confirme que les deux seuls sujets de conversation entre la plaignante et lui ont été : (1) si la plaignante pouvait dormir avec lui, (2) l’accusé devait mettre un condom s’il désirait une relation sexuelle complète. L</w:t>
      </w:r>
      <w:r>
        <w:t>’</w:t>
      </w:r>
      <w:r w:rsidRPr="00560DB7">
        <w:t>accusé explique qu</w:t>
      </w:r>
      <w:r>
        <w:t>’</w:t>
      </w:r>
      <w:r w:rsidRPr="00560DB7">
        <w:t>il infère le consentement de la plaignante de son comportement au moment où il lui fait un cunnilingus. Il importe de se rappeler que la plaignante affirme n</w:t>
      </w:r>
      <w:r>
        <w:t>’</w:t>
      </w:r>
      <w:r w:rsidRPr="00560DB7">
        <w:t>avoir aucun souvenir de ce geste, présumant qu</w:t>
      </w:r>
      <w:r>
        <w:t>’</w:t>
      </w:r>
      <w:r w:rsidRPr="00560DB7">
        <w:t>il a été fait alors qu’elle dormait. Elle soutient cependant avoir confronté l</w:t>
      </w:r>
      <w:r>
        <w:t>’</w:t>
      </w:r>
      <w:r w:rsidRPr="00560DB7">
        <w:t>accusé lorsque ce dernier lui aurait affirmé, en ces termes :</w:t>
      </w:r>
    </w:p>
    <w:p w14:paraId="0C865EC0" w14:textId="77777777" w:rsidR="00164851" w:rsidRPr="00560DB7" w:rsidRDefault="00164851" w:rsidP="00164851">
      <w:pPr>
        <w:pStyle w:val="Citationenretrait"/>
      </w:pPr>
      <w:r w:rsidRPr="00560DB7">
        <w:t>Je t</w:t>
      </w:r>
      <w:r>
        <w:t>’</w:t>
      </w:r>
      <w:r w:rsidRPr="00560DB7">
        <w:t>ai mangée et t</w:t>
      </w:r>
      <w:r>
        <w:t>’</w:t>
      </w:r>
      <w:r w:rsidRPr="00560DB7">
        <w:t>a rien dit.</w:t>
      </w:r>
    </w:p>
    <w:p w14:paraId="19ED969D" w14:textId="77777777" w:rsidR="00164851" w:rsidRPr="00560DB7" w:rsidRDefault="00164851" w:rsidP="00164851">
      <w:pPr>
        <w:pStyle w:val="Citationenretrait"/>
        <w:rPr>
          <w:szCs w:val="22"/>
        </w:rPr>
      </w:pPr>
      <w:r w:rsidRPr="00560DB7">
        <w:rPr>
          <w:szCs w:val="22"/>
        </w:rPr>
        <w:t xml:space="preserve">Elle lui aurait alors </w:t>
      </w:r>
      <w:r w:rsidRPr="008778CF">
        <w:t>confirmé</w:t>
      </w:r>
      <w:r w:rsidRPr="00560DB7">
        <w:rPr>
          <w:szCs w:val="22"/>
        </w:rPr>
        <w:t xml:space="preserve"> qu</w:t>
      </w:r>
      <w:r>
        <w:rPr>
          <w:szCs w:val="22"/>
        </w:rPr>
        <w:t>’</w:t>
      </w:r>
      <w:r w:rsidRPr="00560DB7">
        <w:rPr>
          <w:szCs w:val="22"/>
        </w:rPr>
        <w:t xml:space="preserve">elle n'a pas répondu à ses... à ses propositions en ce sens. </w:t>
      </w:r>
      <w:r w:rsidRPr="00560DB7">
        <w:rPr>
          <w:szCs w:val="22"/>
          <w:u w:val="single"/>
        </w:rPr>
        <w:t>L’exercice n’est pas ici de comparer deux versions données</w:t>
      </w:r>
      <w:r w:rsidRPr="00560DB7">
        <w:rPr>
          <w:szCs w:val="22"/>
        </w:rPr>
        <w:t xml:space="preserve">. Le Tribunal soumet </w:t>
      </w:r>
      <w:r w:rsidRPr="00560DB7">
        <w:rPr>
          <w:szCs w:val="22"/>
          <w:u w:val="single"/>
        </w:rPr>
        <w:t>cependant qu’il y a une contradiction entre la version de l’accusé et le reste de la preuve</w:t>
      </w:r>
      <w:r w:rsidRPr="00560DB7">
        <w:rPr>
          <w:szCs w:val="22"/>
        </w:rPr>
        <w:t>.</w:t>
      </w:r>
      <w:r w:rsidRPr="00560DB7">
        <w:rPr>
          <w:rStyle w:val="Appelnotedebasdep"/>
          <w:szCs w:val="22"/>
        </w:rPr>
        <w:footnoteReference w:id="24"/>
      </w:r>
    </w:p>
    <w:p w14:paraId="4AB7B49D" w14:textId="77777777" w:rsidR="00164851" w:rsidRPr="00560DB7" w:rsidRDefault="00164851" w:rsidP="00164851">
      <w:pPr>
        <w:pStyle w:val="Paragraphe"/>
        <w:numPr>
          <w:ilvl w:val="0"/>
          <w:numId w:val="0"/>
        </w:numPr>
        <w:tabs>
          <w:tab w:val="num" w:pos="720"/>
        </w:tabs>
        <w:spacing w:before="0" w:line="240" w:lineRule="auto"/>
        <w:ind w:left="425" w:right="715"/>
        <w:jc w:val="right"/>
        <w:rPr>
          <w:sz w:val="22"/>
          <w:szCs w:val="22"/>
        </w:rPr>
      </w:pPr>
      <w:r w:rsidRPr="00560DB7">
        <w:rPr>
          <w:sz w:val="22"/>
          <w:szCs w:val="22"/>
        </w:rPr>
        <w:t>[Soulignements ajoutés]</w:t>
      </w:r>
    </w:p>
    <w:p w14:paraId="0498D1FE" w14:textId="77777777" w:rsidR="00164851" w:rsidRPr="00560DB7" w:rsidRDefault="00164851" w:rsidP="00164851">
      <w:pPr>
        <w:pStyle w:val="Paragraphe"/>
        <w:spacing w:line="280" w:lineRule="exact"/>
      </w:pPr>
      <w:r w:rsidRPr="00560DB7">
        <w:lastRenderedPageBreak/>
        <w:t xml:space="preserve">Le </w:t>
      </w:r>
      <w:r w:rsidRPr="008778CF">
        <w:rPr>
          <w:color w:val="000000" w:themeColor="text1"/>
        </w:rPr>
        <w:t>problème</w:t>
      </w:r>
      <w:r w:rsidRPr="00560DB7">
        <w:t xml:space="preserve"> dans cette analyse réside dans le fait que « le reste de la preuve » se limite au témoignage de la plaignante. Il est en effet question du consentement aux activités sexuelles, dont seuls l’appelant et la plaignante pouvaient témoigner.</w:t>
      </w:r>
    </w:p>
    <w:p w14:paraId="75BCA069" w14:textId="77777777" w:rsidR="00164851" w:rsidRPr="007948F8" w:rsidRDefault="00164851" w:rsidP="00164851">
      <w:pPr>
        <w:pStyle w:val="Paragraphe"/>
        <w:spacing w:line="280" w:lineRule="exact"/>
      </w:pPr>
      <w:r w:rsidRPr="00560DB7">
        <w:t xml:space="preserve">Il </w:t>
      </w:r>
      <w:r w:rsidRPr="008778CF">
        <w:rPr>
          <w:color w:val="000000" w:themeColor="text1"/>
        </w:rPr>
        <w:t>est</w:t>
      </w:r>
      <w:r w:rsidRPr="00560DB7">
        <w:t xml:space="preserve"> pourtant clairement reconnu que lorsque les témoins de la défense et ceux du ministère public présentent des </w:t>
      </w:r>
      <w:r>
        <w:t>versions</w:t>
      </w:r>
      <w:r w:rsidRPr="00560DB7">
        <w:t xml:space="preserve"> contradictoires, </w:t>
      </w:r>
      <w:r>
        <w:t xml:space="preserve">l’appréciation de la crédibilité </w:t>
      </w:r>
      <w:r w:rsidRPr="00560DB7">
        <w:t>« </w:t>
      </w:r>
      <w:r w:rsidRPr="00560DB7">
        <w:rPr>
          <w:u w:val="single"/>
        </w:rPr>
        <w:t>ne doit jamais être traitée comme un concours de crédibilité</w:t>
      </w:r>
      <w:r w:rsidRPr="00560DB7">
        <w:t xml:space="preserve">, et le juge des faits n’a pas à accepter la preuve de la défense ou sa version </w:t>
      </w:r>
      <w:r w:rsidRPr="007948F8">
        <w:t>des faits pour prononcer un acquittement »</w:t>
      </w:r>
      <w:r w:rsidRPr="007948F8">
        <w:rPr>
          <w:rStyle w:val="Appelnotedebasdep"/>
        </w:rPr>
        <w:footnoteReference w:id="25"/>
      </w:r>
      <w:r w:rsidRPr="007948F8">
        <w:t>.</w:t>
      </w:r>
    </w:p>
    <w:p w14:paraId="6062E39D" w14:textId="77777777" w:rsidR="00164851" w:rsidRPr="007948F8" w:rsidRDefault="00164851" w:rsidP="00164851">
      <w:pPr>
        <w:pStyle w:val="Paragraphe"/>
        <w:spacing w:line="280" w:lineRule="exact"/>
      </w:pPr>
      <w:r w:rsidRPr="007948F8">
        <w:t xml:space="preserve">Ce principe n’a pas été écarté par la Cour suprême qui écrivait récemment dans l’arrêt </w:t>
      </w:r>
      <w:r w:rsidRPr="007948F8">
        <w:rPr>
          <w:i/>
          <w:iCs/>
        </w:rPr>
        <w:t>Berg</w:t>
      </w:r>
      <w:r w:rsidRPr="007948F8">
        <w:t xml:space="preserve"> « [qu’u]ne déclaration de culpabilité doit plutôt toujours reposer sur </w:t>
      </w:r>
      <w:r w:rsidRPr="007948F8">
        <w:rPr>
          <w:u w:val="single"/>
        </w:rPr>
        <w:t>une preuve hors de tout doute raisonnable</w:t>
      </w:r>
      <w:r w:rsidRPr="007948F8">
        <w:t xml:space="preserve">. Une telle preuve </w:t>
      </w:r>
      <w:r w:rsidRPr="007948F8">
        <w:rPr>
          <w:u w:val="single"/>
        </w:rPr>
        <w:t>exige davantage</w:t>
      </w:r>
      <w:r w:rsidRPr="007948F8">
        <w:t xml:space="preserve"> que le fait d’avoir “accepté de manière réfléchie et raisonnée” le témoignage du plaignant »</w:t>
      </w:r>
      <w:r w:rsidRPr="007948F8">
        <w:rPr>
          <w:rStyle w:val="Appelnotedebasdep"/>
        </w:rPr>
        <w:footnoteReference w:id="26"/>
      </w:r>
      <w:r w:rsidRPr="007948F8">
        <w:t>.</w:t>
      </w:r>
    </w:p>
    <w:p w14:paraId="4CC2E775" w14:textId="1D17DAC7" w:rsidR="00164851" w:rsidRPr="007948F8" w:rsidRDefault="00164851" w:rsidP="00164851">
      <w:pPr>
        <w:pStyle w:val="Paragraphe"/>
        <w:tabs>
          <w:tab w:val="clear" w:pos="720"/>
          <w:tab w:val="num" w:pos="709"/>
        </w:tabs>
        <w:spacing w:line="280" w:lineRule="exact"/>
      </w:pPr>
      <w:r w:rsidRPr="008778CF">
        <w:rPr>
          <w:color w:val="000000" w:themeColor="text1"/>
        </w:rPr>
        <w:t>L’appelant</w:t>
      </w:r>
      <w:r w:rsidRPr="007948F8">
        <w:t xml:space="preserve"> me convainc donc que l’analyse de sa crédibilité a mené à un renversement du fardeau de la preuve en contravention avec la présomption d’innocence, et cette erreur de droit est présumée lui</w:t>
      </w:r>
      <w:r>
        <w:t xml:space="preserve"> </w:t>
      </w:r>
      <w:r w:rsidRPr="007948F8">
        <w:t>être préjudiciable</w:t>
      </w:r>
      <w:r w:rsidRPr="007948F8">
        <w:rPr>
          <w:rStyle w:val="Appelnotedebasdep"/>
        </w:rPr>
        <w:footnoteReference w:id="27"/>
      </w:r>
      <w:r w:rsidRPr="007948F8">
        <w:t xml:space="preserve">. Il revient dès lors au ministère public de démontrer l’absence de préjudice </w:t>
      </w:r>
      <w:r>
        <w:t xml:space="preserve">afin de pouvoir </w:t>
      </w:r>
      <w:r w:rsidR="006169F6">
        <w:t>recourir à</w:t>
      </w:r>
      <w:r w:rsidRPr="007948F8">
        <w:t xml:space="preserve"> la disposition réparatrice, </w:t>
      </w:r>
      <w:r>
        <w:t>qui n’a pas été invoquée en l’espèce</w:t>
      </w:r>
      <w:r w:rsidRPr="007948F8">
        <w:t>.</w:t>
      </w:r>
    </w:p>
    <w:p w14:paraId="6C366325" w14:textId="77777777" w:rsidR="00164851" w:rsidRDefault="00164851" w:rsidP="00164851">
      <w:pPr>
        <w:pStyle w:val="Paragraphe"/>
        <w:spacing w:line="280" w:lineRule="exact"/>
      </w:pPr>
      <w:r w:rsidRPr="007948F8">
        <w:t>En conséquence, je suis d’avis d’accueillir le pourvoi, d’infirmer la déclaration de culpabilité de l’appelant et d’ordonner la tenue d’un nouveau procès.</w:t>
      </w:r>
    </w:p>
    <w:tbl>
      <w:tblPr>
        <w:tblW w:w="0" w:type="auto"/>
        <w:tblLayout w:type="fixed"/>
        <w:tblCellMar>
          <w:left w:w="0" w:type="dxa"/>
          <w:right w:w="0" w:type="dxa"/>
        </w:tblCellMar>
        <w:tblLook w:val="0000" w:firstRow="0" w:lastRow="0" w:firstColumn="0" w:lastColumn="0" w:noHBand="0" w:noVBand="0"/>
      </w:tblPr>
      <w:tblGrid>
        <w:gridCol w:w="4735"/>
        <w:gridCol w:w="4625"/>
      </w:tblGrid>
      <w:tr w:rsidR="00164851" w14:paraId="2A439D3A" w14:textId="77777777" w:rsidTr="00AB1A46">
        <w:trPr>
          <w:cantSplit/>
          <w:trHeight w:val="1305"/>
        </w:trPr>
        <w:tc>
          <w:tcPr>
            <w:tcW w:w="9360" w:type="dxa"/>
            <w:gridSpan w:val="2"/>
          </w:tcPr>
          <w:p w14:paraId="7D867501" w14:textId="77777777" w:rsidR="00164851" w:rsidRDefault="00164851" w:rsidP="00AB1A46"/>
        </w:tc>
      </w:tr>
      <w:tr w:rsidR="00164851" w14:paraId="140EF758" w14:textId="77777777" w:rsidTr="00AB1A46">
        <w:trPr>
          <w:cantSplit/>
          <w:trHeight w:val="277"/>
        </w:trPr>
        <w:tc>
          <w:tcPr>
            <w:tcW w:w="4735" w:type="dxa"/>
            <w:vMerge w:val="restart"/>
          </w:tcPr>
          <w:p w14:paraId="7EF38944" w14:textId="77777777" w:rsidR="00164851" w:rsidRDefault="00164851" w:rsidP="00AB1A46"/>
        </w:tc>
        <w:tc>
          <w:tcPr>
            <w:tcW w:w="4625" w:type="dxa"/>
            <w:tcBorders>
              <w:bottom w:val="single" w:sz="8" w:space="0" w:color="auto"/>
            </w:tcBorders>
          </w:tcPr>
          <w:p w14:paraId="5FE5F5AE" w14:textId="77777777" w:rsidR="00164851" w:rsidRDefault="00164851" w:rsidP="00AB1A46"/>
        </w:tc>
      </w:tr>
      <w:tr w:rsidR="00164851" w14:paraId="4E1FE2FF" w14:textId="77777777" w:rsidTr="00AB1A46">
        <w:trPr>
          <w:cantSplit/>
          <w:trHeight w:val="276"/>
        </w:trPr>
        <w:tc>
          <w:tcPr>
            <w:tcW w:w="4735" w:type="dxa"/>
            <w:vMerge/>
          </w:tcPr>
          <w:p w14:paraId="1D33AA5C" w14:textId="77777777" w:rsidR="00164851" w:rsidRDefault="00164851" w:rsidP="00AB1A46"/>
        </w:tc>
        <w:tc>
          <w:tcPr>
            <w:tcW w:w="4625" w:type="dxa"/>
          </w:tcPr>
          <w:p w14:paraId="621B5885" w14:textId="269480E1" w:rsidR="00164851" w:rsidRDefault="00040B44" w:rsidP="00AB1A46">
            <w:r>
              <w:t>MYRIAM LACHANCE, J.C.A.</w:t>
            </w:r>
          </w:p>
        </w:tc>
      </w:tr>
      <w:bookmarkEnd w:id="12"/>
    </w:tbl>
    <w:p w14:paraId="3ABD2CF8" w14:textId="77777777" w:rsidR="00740A17" w:rsidRPr="009F1552" w:rsidRDefault="00740A17" w:rsidP="009F1552"/>
    <w:sectPr w:rsidR="00740A17" w:rsidRPr="009F1552" w:rsidSect="00164851">
      <w:headerReference w:type="default" r:id="rId9"/>
      <w:pgSz w:w="12242" w:h="15842" w:code="1"/>
      <w:pgMar w:top="1440" w:right="1008" w:bottom="1440" w:left="1872" w:header="1440" w:footer="79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F5378" w14:textId="77777777" w:rsidR="00E66A97" w:rsidRDefault="00E66A97">
      <w:r>
        <w:separator/>
      </w:r>
    </w:p>
  </w:endnote>
  <w:endnote w:type="continuationSeparator" w:id="0">
    <w:p w14:paraId="342A487A" w14:textId="77777777" w:rsidR="00E66A97" w:rsidRDefault="00E66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37B4" w14:textId="77777777" w:rsidR="00E66A97" w:rsidRDefault="00E66A97">
      <w:r>
        <w:separator/>
      </w:r>
    </w:p>
  </w:footnote>
  <w:footnote w:type="continuationSeparator" w:id="0">
    <w:p w14:paraId="7EF6CD00" w14:textId="77777777" w:rsidR="00E66A97" w:rsidRDefault="00E66A97">
      <w:r>
        <w:continuationSeparator/>
      </w:r>
    </w:p>
  </w:footnote>
  <w:footnote w:id="1">
    <w:p w14:paraId="38543411" w14:textId="77777777" w:rsidR="00164851" w:rsidRPr="00E340DC" w:rsidRDefault="00164851" w:rsidP="00164851">
      <w:pPr>
        <w:pStyle w:val="Notedebasdepage"/>
        <w:ind w:left="284" w:hanging="284"/>
        <w:rPr>
          <w:rFonts w:cs="Arial"/>
        </w:rPr>
      </w:pPr>
      <w:r w:rsidRPr="00E340DC">
        <w:rPr>
          <w:rStyle w:val="Appelnotedebasdep"/>
          <w:rFonts w:cs="Arial"/>
        </w:rPr>
        <w:footnoteRef/>
      </w:r>
      <w:r w:rsidRPr="00E340DC">
        <w:rPr>
          <w:rFonts w:cs="Arial"/>
        </w:rPr>
        <w:t xml:space="preserve"> </w:t>
      </w:r>
      <w:r w:rsidRPr="00E340DC">
        <w:rPr>
          <w:rFonts w:cs="Arial"/>
        </w:rPr>
        <w:tab/>
      </w:r>
      <w:r w:rsidRPr="00E340DC">
        <w:rPr>
          <w:rFonts w:cs="Arial"/>
          <w:i/>
          <w:iCs/>
        </w:rPr>
        <w:t>R. c. Savoie</w:t>
      </w:r>
      <w:r w:rsidRPr="00E340DC">
        <w:rPr>
          <w:rFonts w:cs="Arial"/>
        </w:rPr>
        <w:t>, C.Q. Abitibi, n</w:t>
      </w:r>
      <w:r w:rsidRPr="00E340DC">
        <w:rPr>
          <w:rFonts w:cs="Arial"/>
          <w:vertAlign w:val="superscript"/>
        </w:rPr>
        <w:t xml:space="preserve">o </w:t>
      </w:r>
      <w:r w:rsidRPr="00E340DC">
        <w:rPr>
          <w:rFonts w:cs="Arial"/>
          <w:szCs w:val="24"/>
          <w:lang w:eastAsia="fr-CA"/>
        </w:rPr>
        <w:t xml:space="preserve">615-01-034607-237, </w:t>
      </w:r>
      <w:r w:rsidRPr="00E340DC">
        <w:rPr>
          <w:rFonts w:cs="Arial"/>
        </w:rPr>
        <w:t>1</w:t>
      </w:r>
      <w:r w:rsidRPr="00E340DC">
        <w:rPr>
          <w:rFonts w:cs="Arial"/>
          <w:vertAlign w:val="superscript"/>
        </w:rPr>
        <w:t>er</w:t>
      </w:r>
      <w:r w:rsidRPr="00E340DC">
        <w:rPr>
          <w:rFonts w:cs="Arial"/>
        </w:rPr>
        <w:t xml:space="preserve"> mai 2025</w:t>
      </w:r>
      <w:r>
        <w:rPr>
          <w:rFonts w:cs="Arial"/>
        </w:rPr>
        <w:t xml:space="preserve">, </w:t>
      </w:r>
      <w:r w:rsidRPr="00E340DC">
        <w:rPr>
          <w:rFonts w:cs="Arial"/>
        </w:rPr>
        <w:t>Bigué</w:t>
      </w:r>
      <w:r>
        <w:rPr>
          <w:rFonts w:cs="Arial"/>
        </w:rPr>
        <w:t>-</w:t>
      </w:r>
      <w:r w:rsidRPr="00E340DC">
        <w:rPr>
          <w:rFonts w:cs="Arial"/>
        </w:rPr>
        <w:t>Turcotte, j.c.q.</w:t>
      </w:r>
      <w:r>
        <w:rPr>
          <w:rFonts w:cs="Arial"/>
        </w:rPr>
        <w:t xml:space="preserve"> </w:t>
      </w:r>
      <w:r w:rsidRPr="00E340DC">
        <w:rPr>
          <w:rFonts w:cs="Arial"/>
        </w:rPr>
        <w:t>[Jugement entrepris].</w:t>
      </w:r>
    </w:p>
  </w:footnote>
  <w:footnote w:id="2">
    <w:p w14:paraId="115E4B71" w14:textId="77777777" w:rsidR="00164851" w:rsidRPr="00E340DC" w:rsidRDefault="00164851" w:rsidP="00164851">
      <w:pPr>
        <w:pStyle w:val="Notedebasdepage"/>
        <w:ind w:left="284" w:hanging="284"/>
        <w:rPr>
          <w:rFonts w:cs="Arial"/>
        </w:rPr>
      </w:pPr>
      <w:r w:rsidRPr="00E340DC">
        <w:rPr>
          <w:rStyle w:val="Appelnotedebasdep"/>
          <w:rFonts w:cs="Arial"/>
        </w:rPr>
        <w:footnoteRef/>
      </w:r>
      <w:r w:rsidRPr="00E340DC">
        <w:rPr>
          <w:rFonts w:cs="Arial"/>
        </w:rPr>
        <w:t xml:space="preserve"> </w:t>
      </w:r>
      <w:r w:rsidRPr="00E340DC">
        <w:rPr>
          <w:rFonts w:cs="Arial"/>
        </w:rPr>
        <w:tab/>
        <w:t>Pièce P-1: Deux pages de capture d’écran</w:t>
      </w:r>
      <w:r>
        <w:rPr>
          <w:rFonts w:cs="Arial"/>
        </w:rPr>
        <w:t xml:space="preserve"> [Transcription textuelle].</w:t>
      </w:r>
    </w:p>
  </w:footnote>
  <w:footnote w:id="3">
    <w:p w14:paraId="6980EAAA" w14:textId="77777777" w:rsidR="00164851" w:rsidRPr="00E340DC" w:rsidRDefault="00164851" w:rsidP="00164851">
      <w:pPr>
        <w:pStyle w:val="Notedebasdepage"/>
        <w:ind w:left="284" w:hanging="284"/>
        <w:rPr>
          <w:rFonts w:cs="Arial"/>
        </w:rPr>
      </w:pPr>
      <w:r w:rsidRPr="00E340DC">
        <w:rPr>
          <w:rStyle w:val="Appelnotedebasdep"/>
          <w:rFonts w:cs="Arial"/>
        </w:rPr>
        <w:footnoteRef/>
      </w:r>
      <w:r w:rsidRPr="00E340DC">
        <w:rPr>
          <w:rFonts w:cs="Arial"/>
        </w:rPr>
        <w:t xml:space="preserve"> </w:t>
      </w:r>
      <w:r w:rsidRPr="00E340DC">
        <w:rPr>
          <w:rFonts w:cs="Arial"/>
        </w:rPr>
        <w:tab/>
      </w:r>
      <w:r w:rsidRPr="002B1B7D">
        <w:rPr>
          <w:rFonts w:cs="Arial"/>
          <w:i/>
          <w:iCs/>
        </w:rPr>
        <w:t>R. c. Bouvette</w:t>
      </w:r>
      <w:r w:rsidRPr="00E340DC">
        <w:rPr>
          <w:rFonts w:cs="Arial"/>
        </w:rPr>
        <w:t xml:space="preserve">, </w:t>
      </w:r>
      <w:r w:rsidRPr="001A6AA9">
        <w:rPr>
          <w:rFonts w:cs="Arial"/>
        </w:rPr>
        <w:t>2025 CSC 18</w:t>
      </w:r>
      <w:r w:rsidRPr="00E340DC">
        <w:rPr>
          <w:rFonts w:cs="Arial"/>
        </w:rPr>
        <w:t>, par. 107</w:t>
      </w:r>
    </w:p>
  </w:footnote>
  <w:footnote w:id="4">
    <w:p w14:paraId="11B779F1" w14:textId="77777777" w:rsidR="00164851" w:rsidRPr="00E340DC" w:rsidRDefault="00164851" w:rsidP="00164851">
      <w:pPr>
        <w:pStyle w:val="Notedebasdepage"/>
        <w:ind w:left="284" w:hanging="284"/>
        <w:rPr>
          <w:rFonts w:cs="Arial"/>
        </w:rPr>
      </w:pPr>
      <w:r w:rsidRPr="00E340DC">
        <w:rPr>
          <w:rStyle w:val="Appelnotedebasdep"/>
          <w:rFonts w:cs="Arial"/>
        </w:rPr>
        <w:footnoteRef/>
      </w:r>
      <w:r w:rsidRPr="00E340DC">
        <w:rPr>
          <w:rFonts w:cs="Arial"/>
        </w:rPr>
        <w:t xml:space="preserve"> </w:t>
      </w:r>
      <w:r w:rsidRPr="00E340DC">
        <w:rPr>
          <w:rFonts w:cs="Arial"/>
        </w:rPr>
        <w:tab/>
      </w:r>
      <w:r w:rsidRPr="002B1B7D">
        <w:rPr>
          <w:rFonts w:cs="Arial"/>
          <w:i/>
          <w:iCs/>
        </w:rPr>
        <w:t>R. c. Brunelle</w:t>
      </w:r>
      <w:r w:rsidRPr="00E340DC">
        <w:rPr>
          <w:rFonts w:cs="Arial"/>
        </w:rPr>
        <w:t xml:space="preserve">, </w:t>
      </w:r>
      <w:r w:rsidRPr="001A6AA9">
        <w:rPr>
          <w:rFonts w:cs="Arial"/>
        </w:rPr>
        <w:t>2022 CSC 5</w:t>
      </w:r>
      <w:r w:rsidRPr="00E340DC">
        <w:rPr>
          <w:rFonts w:cs="Arial"/>
        </w:rPr>
        <w:t>, par. 8</w:t>
      </w:r>
      <w:r>
        <w:rPr>
          <w:rFonts w:cs="Arial"/>
        </w:rPr>
        <w:t xml:space="preserve">, citant </w:t>
      </w:r>
      <w:r w:rsidRPr="00EE6590">
        <w:rPr>
          <w:rFonts w:cs="Arial"/>
          <w:i/>
          <w:iCs/>
        </w:rPr>
        <w:t>Brunelle c. R</w:t>
      </w:r>
      <w:r w:rsidRPr="00EB0155">
        <w:rPr>
          <w:rFonts w:cs="Arial"/>
        </w:rPr>
        <w:t>., 2021 QCCA 783</w:t>
      </w:r>
      <w:r>
        <w:rPr>
          <w:rFonts w:cs="Arial"/>
        </w:rPr>
        <w:t>, par. 58.</w:t>
      </w:r>
    </w:p>
  </w:footnote>
  <w:footnote w:id="5">
    <w:p w14:paraId="46CDC188" w14:textId="77777777" w:rsidR="00164851" w:rsidRDefault="00164851" w:rsidP="00164851">
      <w:pPr>
        <w:pStyle w:val="Notedebasdepage"/>
        <w:ind w:left="284" w:hanging="284"/>
      </w:pPr>
      <w:r>
        <w:rPr>
          <w:rStyle w:val="Appelnotedebasdep"/>
        </w:rPr>
        <w:footnoteRef/>
      </w:r>
      <w:r>
        <w:t xml:space="preserve"> </w:t>
      </w:r>
      <w:r>
        <w:tab/>
      </w:r>
      <w:bookmarkStart w:id="13" w:name="_Hlk230615078"/>
      <w:r>
        <w:t>Jugement entrepris, p. 14-15.</w:t>
      </w:r>
      <w:bookmarkEnd w:id="13"/>
    </w:p>
  </w:footnote>
  <w:footnote w:id="6">
    <w:p w14:paraId="5E8653F9" w14:textId="77777777" w:rsidR="00164851" w:rsidRPr="00E340DC" w:rsidRDefault="00164851" w:rsidP="00164851">
      <w:pPr>
        <w:pStyle w:val="Notedebasdepage"/>
        <w:ind w:left="284" w:hanging="284"/>
        <w:rPr>
          <w:rFonts w:cs="Arial"/>
        </w:rPr>
      </w:pPr>
      <w:r w:rsidRPr="00E340DC">
        <w:rPr>
          <w:rStyle w:val="Appelnotedebasdep"/>
          <w:rFonts w:cs="Arial"/>
        </w:rPr>
        <w:footnoteRef/>
      </w:r>
      <w:r w:rsidRPr="00E340DC">
        <w:rPr>
          <w:rFonts w:cs="Arial"/>
        </w:rPr>
        <w:t xml:space="preserve"> </w:t>
      </w:r>
      <w:r w:rsidRPr="00E340DC">
        <w:rPr>
          <w:rFonts w:cs="Arial"/>
        </w:rPr>
        <w:tab/>
      </w:r>
      <w:r w:rsidRPr="00E340DC">
        <w:rPr>
          <w:rFonts w:cs="Arial"/>
          <w:i/>
          <w:iCs/>
        </w:rPr>
        <w:t xml:space="preserve">Dufour c. R., </w:t>
      </w:r>
      <w:r w:rsidRPr="001A6AA9">
        <w:rPr>
          <w:rFonts w:cs="Arial"/>
        </w:rPr>
        <w:t>2017 QCCA 1159</w:t>
      </w:r>
      <w:r w:rsidRPr="00E340DC">
        <w:rPr>
          <w:rFonts w:cs="Arial"/>
        </w:rPr>
        <w:t xml:space="preserve">, par. 43-47; </w:t>
      </w:r>
      <w:r w:rsidRPr="00E340DC">
        <w:rPr>
          <w:rFonts w:cs="Arial"/>
          <w:i/>
          <w:iCs/>
        </w:rPr>
        <w:t>Marchand c. R</w:t>
      </w:r>
      <w:r w:rsidRPr="00E340DC">
        <w:rPr>
          <w:rFonts w:cs="Arial"/>
        </w:rPr>
        <w:t xml:space="preserve">., </w:t>
      </w:r>
      <w:r w:rsidRPr="001A6AA9">
        <w:rPr>
          <w:rFonts w:cs="Arial"/>
        </w:rPr>
        <w:t>2025 QCCA 1125,</w:t>
      </w:r>
      <w:r w:rsidRPr="00E340DC">
        <w:rPr>
          <w:rFonts w:cs="Arial"/>
        </w:rPr>
        <w:t xml:space="preserve"> par. 13.</w:t>
      </w:r>
    </w:p>
  </w:footnote>
  <w:footnote w:id="7">
    <w:p w14:paraId="625061EE" w14:textId="77777777" w:rsidR="00164851" w:rsidRDefault="00164851" w:rsidP="00164851">
      <w:pPr>
        <w:pStyle w:val="Notedebasdepage"/>
        <w:ind w:left="284" w:hanging="284"/>
      </w:pPr>
      <w:r>
        <w:rPr>
          <w:rStyle w:val="Appelnotedebasdep"/>
        </w:rPr>
        <w:footnoteRef/>
      </w:r>
      <w:r>
        <w:t xml:space="preserve"> </w:t>
      </w:r>
      <w:r>
        <w:tab/>
      </w:r>
      <w:r w:rsidRPr="006527EA">
        <w:rPr>
          <w:i/>
          <w:iCs/>
        </w:rPr>
        <w:t>R. c. G.F</w:t>
      </w:r>
      <w:r w:rsidRPr="006527EA">
        <w:t xml:space="preserve">., </w:t>
      </w:r>
      <w:r w:rsidRPr="001A6AA9">
        <w:t>2021 CSC 20</w:t>
      </w:r>
      <w:r w:rsidRPr="006527EA">
        <w:t>, par. 100.</w:t>
      </w:r>
    </w:p>
  </w:footnote>
  <w:footnote w:id="8">
    <w:p w14:paraId="40C9C592" w14:textId="77777777" w:rsidR="00164851" w:rsidRDefault="00164851" w:rsidP="00164851">
      <w:pPr>
        <w:pStyle w:val="Notedebasdepage"/>
        <w:ind w:left="284" w:hanging="284"/>
      </w:pPr>
      <w:r>
        <w:rPr>
          <w:rStyle w:val="Appelnotedebasdep"/>
        </w:rPr>
        <w:footnoteRef/>
      </w:r>
      <w:r>
        <w:t xml:space="preserve"> </w:t>
      </w:r>
      <w:r>
        <w:tab/>
        <w:t>Jugement entrepris, p. 4-18.</w:t>
      </w:r>
    </w:p>
  </w:footnote>
  <w:footnote w:id="9">
    <w:p w14:paraId="17AD5147" w14:textId="77777777" w:rsidR="00164851" w:rsidRDefault="00164851" w:rsidP="00164851">
      <w:pPr>
        <w:pStyle w:val="Notedebasdepage"/>
        <w:ind w:left="284" w:hanging="284"/>
      </w:pPr>
      <w:r>
        <w:rPr>
          <w:rStyle w:val="Appelnotedebasdep"/>
        </w:rPr>
        <w:footnoteRef/>
      </w:r>
      <w:r>
        <w:t xml:space="preserve"> </w:t>
      </w:r>
      <w:r>
        <w:tab/>
        <w:t>Jugement entrepris, p. 20-22.</w:t>
      </w:r>
    </w:p>
  </w:footnote>
  <w:footnote w:id="10">
    <w:p w14:paraId="6F13BF19" w14:textId="77777777" w:rsidR="00164851" w:rsidRDefault="00164851" w:rsidP="00164851">
      <w:pPr>
        <w:pStyle w:val="Notedebasdepage"/>
        <w:ind w:left="284" w:hanging="284"/>
      </w:pPr>
      <w:r>
        <w:rPr>
          <w:rStyle w:val="Appelnotedebasdep"/>
        </w:rPr>
        <w:footnoteRef/>
      </w:r>
      <w:r>
        <w:t xml:space="preserve"> </w:t>
      </w:r>
      <w:r>
        <w:tab/>
      </w:r>
      <w:r w:rsidRPr="00C71435">
        <w:rPr>
          <w:i/>
          <w:iCs/>
        </w:rPr>
        <w:t>Jobin c. R</w:t>
      </w:r>
      <w:r w:rsidRPr="00C71435">
        <w:t xml:space="preserve">., </w:t>
      </w:r>
      <w:r w:rsidRPr="001A6AA9">
        <w:t>2026 QCCA 18</w:t>
      </w:r>
      <w:r>
        <w:t xml:space="preserve">, par. 46 renvoyant à </w:t>
      </w:r>
      <w:r w:rsidRPr="00C71435">
        <w:rPr>
          <w:i/>
          <w:iCs/>
        </w:rPr>
        <w:t>Figaro c. R</w:t>
      </w:r>
      <w:r>
        <w:t>.</w:t>
      </w:r>
      <w:r w:rsidRPr="00C71435">
        <w:t xml:space="preserve">, </w:t>
      </w:r>
      <w:r w:rsidRPr="001A6AA9">
        <w:t>2019 QCCA 1557</w:t>
      </w:r>
      <w:r>
        <w:t>, par. 19.</w:t>
      </w:r>
    </w:p>
  </w:footnote>
  <w:footnote w:id="11">
    <w:p w14:paraId="639705A9" w14:textId="77777777" w:rsidR="00164851" w:rsidRDefault="00164851" w:rsidP="00164851">
      <w:pPr>
        <w:pStyle w:val="Notedebasdepage"/>
        <w:ind w:left="284" w:hanging="284"/>
      </w:pPr>
      <w:r>
        <w:rPr>
          <w:rStyle w:val="Appelnotedebasdep"/>
        </w:rPr>
        <w:footnoteRef/>
      </w:r>
      <w:r>
        <w:t xml:space="preserve"> </w:t>
      </w:r>
      <w:r>
        <w:tab/>
      </w:r>
      <w:r w:rsidRPr="00FF4915">
        <w:rPr>
          <w:i/>
          <w:iCs/>
        </w:rPr>
        <w:t>R. c. W.(D.)</w:t>
      </w:r>
      <w:r w:rsidRPr="004B467E">
        <w:t xml:space="preserve">, </w:t>
      </w:r>
      <w:r w:rsidRPr="001A6AA9">
        <w:t>1991 CanLII 93 (CSC)</w:t>
      </w:r>
      <w:r w:rsidRPr="004B467E">
        <w:t>, [1991] 1 R</w:t>
      </w:r>
      <w:r>
        <w:t>.</w:t>
      </w:r>
      <w:r w:rsidRPr="004B467E">
        <w:t>C</w:t>
      </w:r>
      <w:r>
        <w:t>.</w:t>
      </w:r>
      <w:r w:rsidRPr="004B467E">
        <w:t>S</w:t>
      </w:r>
      <w:r>
        <w:t>.</w:t>
      </w:r>
      <w:r w:rsidRPr="004B467E">
        <w:t xml:space="preserve"> 742</w:t>
      </w:r>
      <w:r>
        <w:t>.</w:t>
      </w:r>
    </w:p>
  </w:footnote>
  <w:footnote w:id="12">
    <w:p w14:paraId="33C10DAB" w14:textId="77777777" w:rsidR="00164851" w:rsidRDefault="00164851" w:rsidP="00164851">
      <w:pPr>
        <w:pStyle w:val="Notedebasdepage"/>
        <w:ind w:left="284" w:hanging="284"/>
      </w:pPr>
      <w:r>
        <w:rPr>
          <w:rStyle w:val="Appelnotedebasdep"/>
        </w:rPr>
        <w:footnoteRef/>
      </w:r>
      <w:r>
        <w:t xml:space="preserve"> </w:t>
      </w:r>
      <w:r>
        <w:tab/>
        <w:t>Jugement entrepris, p. 10.</w:t>
      </w:r>
    </w:p>
  </w:footnote>
  <w:footnote w:id="13">
    <w:p w14:paraId="10363AD5" w14:textId="77777777" w:rsidR="00164851" w:rsidRDefault="00164851" w:rsidP="00164851">
      <w:pPr>
        <w:pStyle w:val="Notedebasdepage"/>
        <w:ind w:left="284" w:hanging="284"/>
      </w:pPr>
      <w:r>
        <w:rPr>
          <w:rStyle w:val="Appelnotedebasdep"/>
        </w:rPr>
        <w:footnoteRef/>
      </w:r>
      <w:r>
        <w:t xml:space="preserve"> </w:t>
      </w:r>
      <w:r>
        <w:tab/>
        <w:t xml:space="preserve">Jugement entrepris, </w:t>
      </w:r>
      <w:r w:rsidRPr="008636A9">
        <w:t>p. 11 (à deux reprises)</w:t>
      </w:r>
      <w:r>
        <w:t>, 12-14 et 16.</w:t>
      </w:r>
    </w:p>
  </w:footnote>
  <w:footnote w:id="14">
    <w:p w14:paraId="0B7BAB77" w14:textId="77777777" w:rsidR="00164851" w:rsidRDefault="00164851" w:rsidP="00164851">
      <w:pPr>
        <w:pStyle w:val="Notedebasdepage"/>
        <w:ind w:left="284" w:hanging="284"/>
      </w:pPr>
      <w:r>
        <w:rPr>
          <w:rStyle w:val="Appelnotedebasdep"/>
        </w:rPr>
        <w:footnoteRef/>
      </w:r>
      <w:r>
        <w:t xml:space="preserve"> </w:t>
      </w:r>
      <w:r>
        <w:tab/>
        <w:t>Voir par exemple: Jugement entrepris, p. 6, l. 13: « Le Tribunal voit une contradiction majeure… »; p. 14, l. 6-7: « Le Tribunal y voit une contradiction importante ».</w:t>
      </w:r>
    </w:p>
  </w:footnote>
  <w:footnote w:id="15">
    <w:p w14:paraId="226D9C8B" w14:textId="77777777" w:rsidR="00164851" w:rsidRDefault="00164851" w:rsidP="00164851">
      <w:pPr>
        <w:pStyle w:val="Notedebasdepage"/>
        <w:ind w:left="284" w:hanging="284"/>
      </w:pPr>
      <w:r>
        <w:rPr>
          <w:rStyle w:val="Appelnotedebasdep"/>
        </w:rPr>
        <w:footnoteRef/>
      </w:r>
      <w:r>
        <w:t xml:space="preserve"> </w:t>
      </w:r>
      <w:r>
        <w:tab/>
      </w:r>
      <w:r w:rsidRPr="00E808D3">
        <w:rPr>
          <w:i/>
          <w:iCs/>
        </w:rPr>
        <w:t>R. c. Kruk</w:t>
      </w:r>
      <w:r w:rsidRPr="00621659">
        <w:t xml:space="preserve">, </w:t>
      </w:r>
      <w:r w:rsidRPr="001A6AA9">
        <w:t>2024 CSC 7</w:t>
      </w:r>
      <w:r>
        <w:t xml:space="preserve">, par. 145 (motifs concordants du juge Rowe), renvoyant à </w:t>
      </w:r>
      <w:r w:rsidRPr="00E808D3">
        <w:rPr>
          <w:i/>
          <w:iCs/>
        </w:rPr>
        <w:t>R. c. François</w:t>
      </w:r>
      <w:r w:rsidRPr="00E808D3">
        <w:t xml:space="preserve">, </w:t>
      </w:r>
      <w:r w:rsidRPr="001A6AA9">
        <w:t>1994 CanLII 52 (CSC)</w:t>
      </w:r>
      <w:r w:rsidRPr="00E808D3">
        <w:t xml:space="preserve">, [1994] 2 R.C.S. 827, p. 837; </w:t>
      </w:r>
      <w:r w:rsidRPr="00E808D3">
        <w:rPr>
          <w:i/>
          <w:iCs/>
        </w:rPr>
        <w:t>R. c. D.A.I</w:t>
      </w:r>
      <w:r w:rsidRPr="00E808D3">
        <w:t xml:space="preserve">., </w:t>
      </w:r>
      <w:r w:rsidRPr="001A6AA9">
        <w:t>2012 CSC 5</w:t>
      </w:r>
      <w:r w:rsidRPr="00E808D3">
        <w:t>, par. 72</w:t>
      </w:r>
      <w:r>
        <w:t>.</w:t>
      </w:r>
    </w:p>
  </w:footnote>
  <w:footnote w:id="16">
    <w:p w14:paraId="621B4FB2" w14:textId="77777777" w:rsidR="00164851" w:rsidRDefault="00164851" w:rsidP="00164851">
      <w:pPr>
        <w:pStyle w:val="Notedebasdepage"/>
        <w:ind w:left="284" w:hanging="284"/>
      </w:pPr>
      <w:r>
        <w:rPr>
          <w:rStyle w:val="Appelnotedebasdep"/>
        </w:rPr>
        <w:footnoteRef/>
      </w:r>
      <w:r>
        <w:t xml:space="preserve"> </w:t>
      </w:r>
      <w:r>
        <w:tab/>
      </w:r>
      <w:r w:rsidRPr="00E42811">
        <w:rPr>
          <w:i/>
          <w:iCs/>
        </w:rPr>
        <w:t>R. c. Gagnon</w:t>
      </w:r>
      <w:r w:rsidRPr="00E42811">
        <w:t xml:space="preserve">, </w:t>
      </w:r>
      <w:r w:rsidRPr="001A6AA9">
        <w:t>2006 CSC 17</w:t>
      </w:r>
      <w:r>
        <w:t>, par. 20.</w:t>
      </w:r>
    </w:p>
  </w:footnote>
  <w:footnote w:id="17">
    <w:p w14:paraId="4CCD3947" w14:textId="77777777" w:rsidR="00164851" w:rsidRPr="0026098F" w:rsidRDefault="00164851" w:rsidP="00164851">
      <w:pPr>
        <w:pStyle w:val="Notedebasdepage"/>
        <w:ind w:left="284" w:hanging="284"/>
      </w:pPr>
      <w:r>
        <w:rPr>
          <w:rStyle w:val="Appelnotedebasdep"/>
        </w:rPr>
        <w:footnoteRef/>
      </w:r>
      <w:r>
        <w:t xml:space="preserve"> </w:t>
      </w:r>
      <w:r>
        <w:tab/>
      </w:r>
      <w:r w:rsidRPr="00931FD0">
        <w:rPr>
          <w:i/>
          <w:iCs/>
        </w:rPr>
        <w:t>Moisan c. R</w:t>
      </w:r>
      <w:r w:rsidRPr="00931FD0">
        <w:t xml:space="preserve">., </w:t>
      </w:r>
      <w:r w:rsidRPr="001A6AA9">
        <w:t>2022 QCCA 486</w:t>
      </w:r>
      <w:r w:rsidRPr="00931FD0">
        <w:t>, par.</w:t>
      </w:r>
      <w:r>
        <w:t> </w:t>
      </w:r>
      <w:r w:rsidRPr="0026098F">
        <w:t>20.</w:t>
      </w:r>
    </w:p>
  </w:footnote>
  <w:footnote w:id="18">
    <w:p w14:paraId="781B3BEC" w14:textId="77777777" w:rsidR="00164851" w:rsidRPr="00C17D72" w:rsidRDefault="00164851" w:rsidP="00164851">
      <w:pPr>
        <w:pStyle w:val="Notedebasdepage"/>
        <w:ind w:left="284" w:hanging="284"/>
        <w:rPr>
          <w:lang w:val="en-CA"/>
        </w:rPr>
      </w:pPr>
      <w:r>
        <w:rPr>
          <w:rStyle w:val="Appelnotedebasdep"/>
        </w:rPr>
        <w:footnoteRef/>
      </w:r>
      <w:r w:rsidRPr="007862EB">
        <w:rPr>
          <w:lang w:val="en-CA"/>
        </w:rPr>
        <w:t xml:space="preserve"> </w:t>
      </w:r>
      <w:r w:rsidRPr="007862EB">
        <w:rPr>
          <w:lang w:val="en-CA"/>
        </w:rPr>
        <w:tab/>
      </w:r>
      <w:r w:rsidRPr="007862EB">
        <w:rPr>
          <w:i/>
          <w:iCs/>
          <w:lang w:val="en-CA"/>
        </w:rPr>
        <w:t>R. c. Oakes,</w:t>
      </w:r>
      <w:r w:rsidRPr="007862EB">
        <w:rPr>
          <w:lang w:val="en-CA"/>
        </w:rPr>
        <w:t xml:space="preserve"> </w:t>
      </w:r>
      <w:r w:rsidRPr="001A6AA9">
        <w:rPr>
          <w:lang w:val="en-CA"/>
        </w:rPr>
        <w:t>1986 CanLII 46 (CSC)</w:t>
      </w:r>
      <w:r w:rsidRPr="007862EB">
        <w:rPr>
          <w:lang w:val="en-CA"/>
        </w:rPr>
        <w:t>, [1986] 1 R.C.S.</w:t>
      </w:r>
      <w:r>
        <w:rPr>
          <w:lang w:val="en-CA"/>
        </w:rPr>
        <w:t> </w:t>
      </w:r>
      <w:r w:rsidRPr="00C17D72">
        <w:rPr>
          <w:lang w:val="en-CA"/>
        </w:rPr>
        <w:t>103, p. 119-</w:t>
      </w:r>
      <w:r>
        <w:rPr>
          <w:lang w:val="en-CA"/>
        </w:rPr>
        <w:t>1</w:t>
      </w:r>
      <w:r w:rsidRPr="00C17D72">
        <w:rPr>
          <w:lang w:val="en-CA"/>
        </w:rPr>
        <w:t>20.</w:t>
      </w:r>
    </w:p>
  </w:footnote>
  <w:footnote w:id="19">
    <w:p w14:paraId="47D6B27D" w14:textId="77777777" w:rsidR="00164851" w:rsidRDefault="00164851" w:rsidP="00164851">
      <w:pPr>
        <w:pStyle w:val="Notedebasdepage"/>
        <w:ind w:left="284" w:hanging="284"/>
      </w:pPr>
      <w:r>
        <w:rPr>
          <w:rStyle w:val="Appelnotedebasdep"/>
        </w:rPr>
        <w:footnoteRef/>
      </w:r>
      <w:r w:rsidRPr="00C17D72">
        <w:t xml:space="preserve"> </w:t>
      </w:r>
      <w:r w:rsidRPr="00C17D72">
        <w:tab/>
      </w:r>
      <w:r w:rsidRPr="00C17D72">
        <w:rPr>
          <w:i/>
          <w:iCs/>
        </w:rPr>
        <w:t>R. c. Lifchus</w:t>
      </w:r>
      <w:r w:rsidRPr="00C17D72">
        <w:t xml:space="preserve">, </w:t>
      </w:r>
      <w:r w:rsidRPr="00823A52">
        <w:t>1997 CanLII 319 (CSC)</w:t>
      </w:r>
      <w:r w:rsidRPr="00C17D72">
        <w:t>, [1997] 3 R.C.S. </w:t>
      </w:r>
      <w:r w:rsidRPr="00162C11">
        <w:t>320</w:t>
      </w:r>
      <w:r>
        <w:t>, par. 36 et 39.</w:t>
      </w:r>
    </w:p>
  </w:footnote>
  <w:footnote w:id="20">
    <w:p w14:paraId="128A32AA" w14:textId="77777777" w:rsidR="00164851" w:rsidRDefault="00164851" w:rsidP="00164851">
      <w:pPr>
        <w:pStyle w:val="Notedebasdepage"/>
        <w:ind w:left="284" w:hanging="284"/>
      </w:pPr>
      <w:r>
        <w:rPr>
          <w:rStyle w:val="Appelnotedebasdep"/>
        </w:rPr>
        <w:footnoteRef/>
      </w:r>
      <w:r>
        <w:t xml:space="preserve"> </w:t>
      </w:r>
      <w:r>
        <w:tab/>
        <w:t>Jugement entrepris, p. 23.</w:t>
      </w:r>
    </w:p>
  </w:footnote>
  <w:footnote w:id="21">
    <w:p w14:paraId="5AC661A6" w14:textId="77777777" w:rsidR="00164851" w:rsidRDefault="00164851" w:rsidP="00164851">
      <w:pPr>
        <w:pStyle w:val="Notedebasdepage"/>
        <w:ind w:left="284" w:hanging="284"/>
      </w:pPr>
      <w:r>
        <w:rPr>
          <w:rStyle w:val="Appelnotedebasdep"/>
        </w:rPr>
        <w:footnoteRef/>
      </w:r>
      <w:r>
        <w:t xml:space="preserve"> </w:t>
      </w:r>
      <w:r>
        <w:tab/>
        <w:t>Témoignage de Noémie Landry, Notes sténographiques de l’audience du 27 février 2025, p. 236-237, 242 et 256 (la témoin indique que la plaignante « était relativement cohérente dans ses propos »), p. 244-260 (elle précise qu’à son retour de la salle de bain, la plaignante était dans un état « quand même similaire à ce qui était avant, là, je dirais, avant qu’elle quitte pour la salle de bain »), p. 259 (« ...ça prend une notion, là, de... de cohérence, là, quand on parle d’études post... post-doctorales... »); Témoignage de Mirabelle Couture, Notes sténographiques de l’audience du 27 février 2025, p. 185</w:t>
      </w:r>
      <w:r>
        <w:noBreakHyphen/>
        <w:t>186, 209-210 et 217 (indiquant que leurs discussions étaient cohérentes et qu’elle « n’était pas saoule » au moment de son arrivée chez l’appelant : « Ben moi, t’sais, elle m’a semblé normale »).</w:t>
      </w:r>
    </w:p>
  </w:footnote>
  <w:footnote w:id="22">
    <w:p w14:paraId="079CF87F" w14:textId="77777777" w:rsidR="00164851" w:rsidRDefault="00164851" w:rsidP="00164851">
      <w:pPr>
        <w:pStyle w:val="Notedebasdepage"/>
        <w:ind w:left="284" w:hanging="284"/>
      </w:pPr>
      <w:r>
        <w:rPr>
          <w:rStyle w:val="Appelnotedebasdep"/>
        </w:rPr>
        <w:footnoteRef/>
      </w:r>
      <w:r>
        <w:t xml:space="preserve"> </w:t>
      </w:r>
      <w:r>
        <w:tab/>
        <w:t>Jugement entrepris, p. 6.</w:t>
      </w:r>
    </w:p>
  </w:footnote>
  <w:footnote w:id="23">
    <w:p w14:paraId="2BF5D5C9" w14:textId="77777777" w:rsidR="00164851" w:rsidRDefault="00164851" w:rsidP="00164851">
      <w:pPr>
        <w:pStyle w:val="Notedebasdepage"/>
        <w:ind w:left="284" w:hanging="284"/>
      </w:pPr>
      <w:r>
        <w:rPr>
          <w:rStyle w:val="Appelnotedebasdep"/>
        </w:rPr>
        <w:footnoteRef/>
      </w:r>
      <w:r>
        <w:t xml:space="preserve"> </w:t>
      </w:r>
      <w:r>
        <w:tab/>
        <w:t>Jugement entrepris, p. 7 [Soulignement ajouté].</w:t>
      </w:r>
    </w:p>
  </w:footnote>
  <w:footnote w:id="24">
    <w:p w14:paraId="11175BF6" w14:textId="77777777" w:rsidR="00164851" w:rsidRDefault="00164851" w:rsidP="00164851">
      <w:pPr>
        <w:pStyle w:val="Notedebasdepage"/>
        <w:ind w:left="284" w:hanging="284"/>
      </w:pPr>
      <w:r>
        <w:rPr>
          <w:rStyle w:val="Appelnotedebasdep"/>
        </w:rPr>
        <w:footnoteRef/>
      </w:r>
      <w:r>
        <w:t xml:space="preserve"> </w:t>
      </w:r>
      <w:r>
        <w:tab/>
      </w:r>
      <w:r w:rsidRPr="00906B50">
        <w:t>Jugement entrepris, p.</w:t>
      </w:r>
      <w:r>
        <w:t> 16-</w:t>
      </w:r>
      <w:r w:rsidRPr="00906B50">
        <w:t>1</w:t>
      </w:r>
      <w:r>
        <w:t>7.</w:t>
      </w:r>
    </w:p>
  </w:footnote>
  <w:footnote w:id="25">
    <w:p w14:paraId="482F9AF9" w14:textId="77777777" w:rsidR="00164851" w:rsidRDefault="00164851" w:rsidP="00164851">
      <w:pPr>
        <w:pStyle w:val="Notedebasdepage"/>
        <w:ind w:left="284" w:hanging="284"/>
      </w:pPr>
      <w:r>
        <w:rPr>
          <w:rStyle w:val="Appelnotedebasdep"/>
        </w:rPr>
        <w:footnoteRef/>
      </w:r>
      <w:r>
        <w:t xml:space="preserve"> </w:t>
      </w:r>
      <w:r>
        <w:tab/>
      </w:r>
      <w:r w:rsidRPr="00931FD0">
        <w:rPr>
          <w:i/>
          <w:iCs/>
        </w:rPr>
        <w:t>R. c. Kruk</w:t>
      </w:r>
      <w:r w:rsidRPr="00621659">
        <w:t xml:space="preserve">, </w:t>
      </w:r>
      <w:r w:rsidRPr="00823A52">
        <w:t>2024 CSC 7</w:t>
      </w:r>
      <w:r>
        <w:t>, par. </w:t>
      </w:r>
      <w:r w:rsidRPr="00621659">
        <w:t>61</w:t>
      </w:r>
      <w:r>
        <w:t xml:space="preserve"> [Soulignement ajouté].</w:t>
      </w:r>
    </w:p>
  </w:footnote>
  <w:footnote w:id="26">
    <w:p w14:paraId="65591B8B" w14:textId="5347BFCA" w:rsidR="00164851" w:rsidRDefault="00164851" w:rsidP="00164851">
      <w:pPr>
        <w:pStyle w:val="Notedebasdepage"/>
        <w:ind w:left="284" w:hanging="284"/>
      </w:pPr>
      <w:r w:rsidRPr="007948F8">
        <w:rPr>
          <w:rStyle w:val="Appelnotedebasdep"/>
        </w:rPr>
        <w:footnoteRef/>
      </w:r>
      <w:r w:rsidRPr="007948F8">
        <w:t xml:space="preserve"> </w:t>
      </w:r>
      <w:r w:rsidRPr="007948F8">
        <w:tab/>
      </w:r>
      <w:r w:rsidRPr="007948F8">
        <w:rPr>
          <w:i/>
          <w:iCs/>
        </w:rPr>
        <w:t>R. c. Berg</w:t>
      </w:r>
      <w:r w:rsidRPr="007948F8">
        <w:t>, 2026 CSC 21, par. 11</w:t>
      </w:r>
      <w:r>
        <w:t xml:space="preserve"> </w:t>
      </w:r>
      <w:r w:rsidR="00AC2239">
        <w:t>[S</w:t>
      </w:r>
      <w:r>
        <w:t>oulignements ajoutés</w:t>
      </w:r>
      <w:r w:rsidR="00AC2239">
        <w:t>]</w:t>
      </w:r>
      <w:r>
        <w:t>.</w:t>
      </w:r>
    </w:p>
  </w:footnote>
  <w:footnote w:id="27">
    <w:p w14:paraId="2682A294" w14:textId="2C42AEDE" w:rsidR="00164851" w:rsidRPr="00931FD0" w:rsidRDefault="00164851" w:rsidP="00164851">
      <w:pPr>
        <w:pStyle w:val="Notedebasdepage"/>
        <w:ind w:left="284" w:hanging="284"/>
      </w:pPr>
      <w:r>
        <w:rPr>
          <w:rStyle w:val="Appelnotedebasdep"/>
        </w:rPr>
        <w:footnoteRef/>
      </w:r>
      <w:r w:rsidRPr="00C17D72">
        <w:t xml:space="preserve"> </w:t>
      </w:r>
      <w:r w:rsidRPr="00C17D72">
        <w:tab/>
      </w:r>
      <w:r w:rsidRPr="00C17D72">
        <w:rPr>
          <w:i/>
          <w:iCs/>
        </w:rPr>
        <w:t>R. c. Saddleback</w:t>
      </w:r>
      <w:r w:rsidRPr="00C17D72">
        <w:t xml:space="preserve">, </w:t>
      </w:r>
      <w:r w:rsidRPr="00823A52">
        <w:t>2026 CSC 18</w:t>
      </w:r>
      <w:r w:rsidRPr="00C17D72">
        <w:t>, par. </w:t>
      </w:r>
      <w:r w:rsidRPr="00931FD0">
        <w:t xml:space="preserve">44 renvoyant à </w:t>
      </w:r>
      <w:r w:rsidRPr="00931FD0">
        <w:rPr>
          <w:i/>
          <w:iCs/>
        </w:rPr>
        <w:t>R. c. Tayo Tompouba</w:t>
      </w:r>
      <w:r w:rsidRPr="00931FD0">
        <w:t xml:space="preserve">, </w:t>
      </w:r>
      <w:r w:rsidRPr="00823A52">
        <w:t>2024 CSC 16</w:t>
      </w:r>
      <w:r w:rsidRPr="00931FD0">
        <w:t>, par.</w:t>
      </w:r>
      <w:r>
        <w:t> </w:t>
      </w:r>
      <w:r w:rsidRPr="00931FD0">
        <w:t>57</w:t>
      </w:r>
      <w:r w:rsidR="006D6F46">
        <w:noBreakHyphen/>
      </w:r>
      <w:r w:rsidRPr="00931FD0">
        <w:t>58</w:t>
      </w:r>
      <w:r w:rsidR="006D6F46">
        <w:t> </w:t>
      </w:r>
      <w:r w:rsidRPr="00931FD0">
        <w:t>et</w:t>
      </w:r>
      <w:r w:rsidR="006D6F46">
        <w:t> </w:t>
      </w:r>
      <w:r w:rsidRPr="00931FD0">
        <w:t>64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BDA3" w14:textId="77777777" w:rsidR="00164851" w:rsidRDefault="00164851" w:rsidP="00824119">
    <w:pPr>
      <w:tabs>
        <w:tab w:val="center" w:pos="4709"/>
        <w:tab w:val="right" w:pos="9360"/>
      </w:tabs>
      <w:spacing w:line="360" w:lineRule="auto"/>
      <w:ind w:right="524"/>
    </w:pPr>
    <w:r>
      <w:t>200-10-700169-258</w:t>
    </w:r>
    <w:r w:rsidRPr="007462D6">
      <w:t xml:space="preserve"> </w:t>
    </w:r>
    <w:r>
      <w:tab/>
    </w:r>
    <w:r>
      <w:tab/>
      <w:t xml:space="preserve">PAGE : </w:t>
    </w:r>
    <w:r>
      <w:fldChar w:fldCharType="begin"/>
    </w:r>
    <w:r>
      <w:instrText xml:space="preserve"> PAGE </w:instrText>
    </w:r>
    <w:r>
      <w:fldChar w:fldCharType="separate"/>
    </w:r>
    <w:r>
      <w:t>1</w:t>
    </w:r>
    <w:r>
      <w:fldChar w:fldCharType="end"/>
    </w:r>
  </w:p>
  <w:p w14:paraId="109B1CBF" w14:textId="77777777" w:rsidR="00164851" w:rsidRDefault="00164851" w:rsidP="00824119">
    <w:pPr>
      <w:tabs>
        <w:tab w:val="center" w:pos="4709"/>
        <w:tab w:val="right" w:pos="9360"/>
      </w:tabs>
      <w:spacing w:line="360" w:lineRule="auto"/>
      <w:ind w:right="52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E518" w14:textId="29AE162A" w:rsidR="007E33E4" w:rsidRDefault="009F1552" w:rsidP="00DB2119">
    <w:pPr>
      <w:tabs>
        <w:tab w:val="center" w:pos="4709"/>
        <w:tab w:val="right" w:pos="9360"/>
      </w:tabs>
      <w:spacing w:line="360" w:lineRule="auto"/>
      <w:ind w:right="524"/>
    </w:pPr>
    <w:bookmarkStart w:id="14" w:name="EntDossier"/>
    <w:r>
      <w:t>200-10-700169-258</w:t>
    </w:r>
    <w:bookmarkEnd w:id="14"/>
    <w:r w:rsidR="007E33E4" w:rsidRPr="007462D6">
      <w:t xml:space="preserve"> </w:t>
    </w:r>
    <w:r w:rsidR="007E33E4">
      <w:tab/>
    </w:r>
    <w:r w:rsidR="007E33E4">
      <w:tab/>
      <w:t xml:space="preserve">PAGE : </w:t>
    </w:r>
    <w:r w:rsidR="007E33E4">
      <w:fldChar w:fldCharType="begin"/>
    </w:r>
    <w:r w:rsidR="007E33E4">
      <w:instrText xml:space="preserve"> PAGE </w:instrText>
    </w:r>
    <w:r w:rsidR="007E33E4">
      <w:fldChar w:fldCharType="separate"/>
    </w:r>
    <w:r w:rsidR="008D18FC">
      <w:rPr>
        <w:noProof/>
      </w:rPr>
      <w:t>2</w:t>
    </w:r>
    <w:r w:rsidR="007E33E4">
      <w:fldChar w:fldCharType="end"/>
    </w:r>
  </w:p>
  <w:p w14:paraId="4C37AE0C" w14:textId="77777777" w:rsidR="007E33E4" w:rsidRDefault="007E33E4" w:rsidP="00DB2119">
    <w:pPr>
      <w:tabs>
        <w:tab w:val="center" w:pos="4709"/>
        <w:tab w:val="right" w:pos="9360"/>
      </w:tabs>
      <w:spacing w:line="360" w:lineRule="auto"/>
      <w:ind w:right="5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BB52DE"/>
    <w:multiLevelType w:val="multilevel"/>
    <w:tmpl w:val="CE2C10D8"/>
    <w:lvl w:ilvl="0">
      <w:start w:val="1"/>
      <w:numFmt w:val="decimal"/>
      <w:pStyle w:val="Paragraphe"/>
      <w:lvlText w:val="[%1]"/>
      <w:lvlJc w:val="left"/>
      <w:pPr>
        <w:tabs>
          <w:tab w:val="num" w:pos="720"/>
        </w:tabs>
        <w:ind w:left="0" w:firstLine="0"/>
      </w:pPr>
      <w:rPr>
        <w:rFonts w:hint="default"/>
        <w:b w:val="0"/>
        <w:bCs/>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005744867">
    <w:abstractNumId w:val="12"/>
  </w:num>
  <w:num w:numId="2" w16cid:durableId="2126729408">
    <w:abstractNumId w:val="12"/>
  </w:num>
  <w:num w:numId="3" w16cid:durableId="1932200708">
    <w:abstractNumId w:val="12"/>
  </w:num>
  <w:num w:numId="4" w16cid:durableId="1181696905">
    <w:abstractNumId w:val="8"/>
  </w:num>
  <w:num w:numId="5" w16cid:durableId="480579356">
    <w:abstractNumId w:val="3"/>
  </w:num>
  <w:num w:numId="6" w16cid:durableId="827285401">
    <w:abstractNumId w:val="2"/>
  </w:num>
  <w:num w:numId="7" w16cid:durableId="1914662429">
    <w:abstractNumId w:val="1"/>
  </w:num>
  <w:num w:numId="8" w16cid:durableId="2108848720">
    <w:abstractNumId w:val="0"/>
  </w:num>
  <w:num w:numId="9" w16cid:durableId="1457991691">
    <w:abstractNumId w:val="9"/>
  </w:num>
  <w:num w:numId="10" w16cid:durableId="1496067544">
    <w:abstractNumId w:val="7"/>
  </w:num>
  <w:num w:numId="11" w16cid:durableId="1404836006">
    <w:abstractNumId w:val="6"/>
  </w:num>
  <w:num w:numId="12" w16cid:durableId="401564615">
    <w:abstractNumId w:val="5"/>
  </w:num>
  <w:num w:numId="13" w16cid:durableId="1963922308">
    <w:abstractNumId w:val="4"/>
  </w:num>
  <w:num w:numId="14" w16cid:durableId="101456703">
    <w:abstractNumId w:val="12"/>
  </w:num>
  <w:num w:numId="15" w16cid:durableId="1382091185">
    <w:abstractNumId w:val="12"/>
  </w:num>
  <w:num w:numId="16" w16cid:durableId="1993637402">
    <w:abstractNumId w:val="12"/>
  </w:num>
  <w:num w:numId="17" w16cid:durableId="1263806435">
    <w:abstractNumId w:val="11"/>
  </w:num>
  <w:num w:numId="18" w16cid:durableId="43604593">
    <w:abstractNumId w:val="10"/>
  </w:num>
  <w:num w:numId="19" w16cid:durableId="1405103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NBChoix" w:val="3"/>
    <w:docVar w:name="MotifJuge1" w:val="MOTIFS DE LA JUGE"/>
    <w:docVar w:name="MotifJuge2" w:val="MOTIFS DU JUGE"/>
    <w:docVar w:name="MotifJuge3" w:val="MOTIFS DE LA JUGE"/>
    <w:docVar w:name="NomFamJuge1" w:val="BICH"/>
    <w:docVar w:name="NomFamJuge2" w:val="BEAUPRÉ"/>
    <w:docVar w:name="NomFamJuge3" w:val="LACHANCE"/>
    <w:docVar w:name="NomFamJuge4" w:val="MAILHOT"/>
    <w:docVar w:name="NomFamJuge5" w:val="BAUDOUIN"/>
    <w:docVar w:name="QteJuge1" w:val=", J.C.A."/>
    <w:docVar w:name="QteJuge2" w:val=", J.C.A."/>
    <w:docVar w:name="QteJuge3" w:val=", J.C.A."/>
    <w:docVar w:name="stPremiereFois" w:val="Non"/>
  </w:docVars>
  <w:rsids>
    <w:rsidRoot w:val="009F1552"/>
    <w:rsid w:val="000131E1"/>
    <w:rsid w:val="000209D1"/>
    <w:rsid w:val="00040B44"/>
    <w:rsid w:val="0004394C"/>
    <w:rsid w:val="00053691"/>
    <w:rsid w:val="000A7516"/>
    <w:rsid w:val="000B42AF"/>
    <w:rsid w:val="00110B53"/>
    <w:rsid w:val="00112321"/>
    <w:rsid w:val="00117914"/>
    <w:rsid w:val="0013028C"/>
    <w:rsid w:val="0015610F"/>
    <w:rsid w:val="00160B31"/>
    <w:rsid w:val="00164851"/>
    <w:rsid w:val="00181F56"/>
    <w:rsid w:val="00187ED2"/>
    <w:rsid w:val="00190FA7"/>
    <w:rsid w:val="001972F2"/>
    <w:rsid w:val="001C4E52"/>
    <w:rsid w:val="00205DC4"/>
    <w:rsid w:val="0021548E"/>
    <w:rsid w:val="00217B49"/>
    <w:rsid w:val="002273F5"/>
    <w:rsid w:val="00236EF0"/>
    <w:rsid w:val="00256C5F"/>
    <w:rsid w:val="00294508"/>
    <w:rsid w:val="002A4E5E"/>
    <w:rsid w:val="002A7A49"/>
    <w:rsid w:val="002B4A07"/>
    <w:rsid w:val="002C4107"/>
    <w:rsid w:val="002E1F0E"/>
    <w:rsid w:val="002E229C"/>
    <w:rsid w:val="002E4FCE"/>
    <w:rsid w:val="002E51F1"/>
    <w:rsid w:val="002F1350"/>
    <w:rsid w:val="002F6136"/>
    <w:rsid w:val="003044E5"/>
    <w:rsid w:val="003145C4"/>
    <w:rsid w:val="00322DE0"/>
    <w:rsid w:val="0032363D"/>
    <w:rsid w:val="0033190E"/>
    <w:rsid w:val="00361325"/>
    <w:rsid w:val="00374888"/>
    <w:rsid w:val="00374E40"/>
    <w:rsid w:val="00392E75"/>
    <w:rsid w:val="003C08BF"/>
    <w:rsid w:val="003D487D"/>
    <w:rsid w:val="003E3239"/>
    <w:rsid w:val="003E3E3C"/>
    <w:rsid w:val="003F6DDA"/>
    <w:rsid w:val="00423DF1"/>
    <w:rsid w:val="00430C58"/>
    <w:rsid w:val="004331C4"/>
    <w:rsid w:val="0043564D"/>
    <w:rsid w:val="00441C25"/>
    <w:rsid w:val="00446452"/>
    <w:rsid w:val="00472DC8"/>
    <w:rsid w:val="004802EC"/>
    <w:rsid w:val="004A29F1"/>
    <w:rsid w:val="004A6641"/>
    <w:rsid w:val="004B1E94"/>
    <w:rsid w:val="004B33FF"/>
    <w:rsid w:val="004D2F69"/>
    <w:rsid w:val="004D7C6E"/>
    <w:rsid w:val="004E31BC"/>
    <w:rsid w:val="004E4FBA"/>
    <w:rsid w:val="004E61E0"/>
    <w:rsid w:val="0050378A"/>
    <w:rsid w:val="005131F1"/>
    <w:rsid w:val="0051484F"/>
    <w:rsid w:val="00516B3E"/>
    <w:rsid w:val="005262C9"/>
    <w:rsid w:val="00531D70"/>
    <w:rsid w:val="00566BF6"/>
    <w:rsid w:val="00583434"/>
    <w:rsid w:val="0058349F"/>
    <w:rsid w:val="005A78BF"/>
    <w:rsid w:val="005B6B4C"/>
    <w:rsid w:val="005C7516"/>
    <w:rsid w:val="005D1522"/>
    <w:rsid w:val="005E2D45"/>
    <w:rsid w:val="005F5F5F"/>
    <w:rsid w:val="006169F6"/>
    <w:rsid w:val="0062174B"/>
    <w:rsid w:val="00624770"/>
    <w:rsid w:val="0064250B"/>
    <w:rsid w:val="00660C21"/>
    <w:rsid w:val="006826AA"/>
    <w:rsid w:val="0068356A"/>
    <w:rsid w:val="006A0DB0"/>
    <w:rsid w:val="006A6629"/>
    <w:rsid w:val="006B786C"/>
    <w:rsid w:val="006C1825"/>
    <w:rsid w:val="006D6F46"/>
    <w:rsid w:val="0071298B"/>
    <w:rsid w:val="00725A1C"/>
    <w:rsid w:val="00740A17"/>
    <w:rsid w:val="007462D6"/>
    <w:rsid w:val="0074738B"/>
    <w:rsid w:val="0076049D"/>
    <w:rsid w:val="0076062E"/>
    <w:rsid w:val="0077004C"/>
    <w:rsid w:val="007901CC"/>
    <w:rsid w:val="007953F3"/>
    <w:rsid w:val="007A3A6D"/>
    <w:rsid w:val="007A7803"/>
    <w:rsid w:val="007B061E"/>
    <w:rsid w:val="007B48D5"/>
    <w:rsid w:val="007D087C"/>
    <w:rsid w:val="007E33E4"/>
    <w:rsid w:val="007E4353"/>
    <w:rsid w:val="007E4CC9"/>
    <w:rsid w:val="007F40FD"/>
    <w:rsid w:val="00800D23"/>
    <w:rsid w:val="00816273"/>
    <w:rsid w:val="0082717B"/>
    <w:rsid w:val="00827B04"/>
    <w:rsid w:val="0083032E"/>
    <w:rsid w:val="00841907"/>
    <w:rsid w:val="0086036A"/>
    <w:rsid w:val="008653A3"/>
    <w:rsid w:val="008657A2"/>
    <w:rsid w:val="00866645"/>
    <w:rsid w:val="00882210"/>
    <w:rsid w:val="008A6185"/>
    <w:rsid w:val="008C1FE9"/>
    <w:rsid w:val="008C7DCE"/>
    <w:rsid w:val="008D18FC"/>
    <w:rsid w:val="008D21C6"/>
    <w:rsid w:val="008D398B"/>
    <w:rsid w:val="008D7E49"/>
    <w:rsid w:val="008E5E9D"/>
    <w:rsid w:val="008F364A"/>
    <w:rsid w:val="008F3F53"/>
    <w:rsid w:val="0090631F"/>
    <w:rsid w:val="00913E03"/>
    <w:rsid w:val="009229E9"/>
    <w:rsid w:val="00926953"/>
    <w:rsid w:val="00932703"/>
    <w:rsid w:val="00936469"/>
    <w:rsid w:val="009400B7"/>
    <w:rsid w:val="00954DC2"/>
    <w:rsid w:val="00957B92"/>
    <w:rsid w:val="00970966"/>
    <w:rsid w:val="00974442"/>
    <w:rsid w:val="009812C4"/>
    <w:rsid w:val="009F1552"/>
    <w:rsid w:val="009F1F69"/>
    <w:rsid w:val="00A071C0"/>
    <w:rsid w:val="00A1145D"/>
    <w:rsid w:val="00A23BF4"/>
    <w:rsid w:val="00A2593B"/>
    <w:rsid w:val="00A34E05"/>
    <w:rsid w:val="00A43D8B"/>
    <w:rsid w:val="00A454F1"/>
    <w:rsid w:val="00A543CC"/>
    <w:rsid w:val="00A93CFF"/>
    <w:rsid w:val="00AB7DD2"/>
    <w:rsid w:val="00AC2239"/>
    <w:rsid w:val="00AE1B6D"/>
    <w:rsid w:val="00AF0C7C"/>
    <w:rsid w:val="00B0073E"/>
    <w:rsid w:val="00B01D86"/>
    <w:rsid w:val="00B07E4E"/>
    <w:rsid w:val="00B11FD1"/>
    <w:rsid w:val="00B137E9"/>
    <w:rsid w:val="00B30EA2"/>
    <w:rsid w:val="00B36ED3"/>
    <w:rsid w:val="00B513C9"/>
    <w:rsid w:val="00B56EF4"/>
    <w:rsid w:val="00B60576"/>
    <w:rsid w:val="00B70485"/>
    <w:rsid w:val="00B82A13"/>
    <w:rsid w:val="00BA56B1"/>
    <w:rsid w:val="00C02AF8"/>
    <w:rsid w:val="00C17E01"/>
    <w:rsid w:val="00C31AC4"/>
    <w:rsid w:val="00C409BE"/>
    <w:rsid w:val="00C423CA"/>
    <w:rsid w:val="00C54ED5"/>
    <w:rsid w:val="00C652ED"/>
    <w:rsid w:val="00C7793C"/>
    <w:rsid w:val="00C939A8"/>
    <w:rsid w:val="00C97145"/>
    <w:rsid w:val="00D010FD"/>
    <w:rsid w:val="00D02812"/>
    <w:rsid w:val="00D11433"/>
    <w:rsid w:val="00D20056"/>
    <w:rsid w:val="00DB2119"/>
    <w:rsid w:val="00DC05BC"/>
    <w:rsid w:val="00DD3A24"/>
    <w:rsid w:val="00DF3516"/>
    <w:rsid w:val="00E03C07"/>
    <w:rsid w:val="00E20E3C"/>
    <w:rsid w:val="00E36290"/>
    <w:rsid w:val="00E43A3C"/>
    <w:rsid w:val="00E66A97"/>
    <w:rsid w:val="00E70521"/>
    <w:rsid w:val="00E81E61"/>
    <w:rsid w:val="00E848B4"/>
    <w:rsid w:val="00E91417"/>
    <w:rsid w:val="00E94329"/>
    <w:rsid w:val="00EB1377"/>
    <w:rsid w:val="00EB19EA"/>
    <w:rsid w:val="00EC1E33"/>
    <w:rsid w:val="00F07022"/>
    <w:rsid w:val="00F1119E"/>
    <w:rsid w:val="00F26635"/>
    <w:rsid w:val="00F33D06"/>
    <w:rsid w:val="00F33E30"/>
    <w:rsid w:val="00F35A34"/>
    <w:rsid w:val="00F40882"/>
    <w:rsid w:val="00F43559"/>
    <w:rsid w:val="00F5789B"/>
    <w:rsid w:val="00F75AAB"/>
    <w:rsid w:val="00F75C76"/>
    <w:rsid w:val="00FB44FB"/>
    <w:rsid w:val="00FC720B"/>
    <w:rsid w:val="00FE3FE9"/>
    <w:rsid w:val="00FE6A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1774F"/>
  <w15:chartTrackingRefBased/>
  <w15:docId w15:val="{54AEFF77-6929-49F8-BB92-0CBFB4532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qFormat/>
    <w:pPr>
      <w:keepNext/>
      <w:spacing w:before="240" w:after="60" w:line="500" w:lineRule="exact"/>
      <w:outlineLvl w:val="0"/>
    </w:pPr>
    <w:rPr>
      <w:b/>
      <w:kern w:val="28"/>
      <w:sz w:val="28"/>
    </w:rPr>
  </w:style>
  <w:style w:type="paragraph" w:styleId="Titre2">
    <w:name w:val="heading 2"/>
    <w:basedOn w:val="Normal"/>
    <w:next w:val="Normal"/>
    <w:qFormat/>
    <w:pPr>
      <w:keepNext/>
      <w:spacing w:before="240" w:after="60"/>
      <w:outlineLvl w:val="1"/>
    </w:pPr>
    <w:rPr>
      <w:b/>
      <w:i/>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qFormat/>
    <w:pPr>
      <w:numPr>
        <w:numId w:val="18"/>
      </w:numPr>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aliases w:val="Char Char Char,Char Char,ft,Footnote text,ft2,fn,Char,Nota de rodapé,Char Char Char Char Char,Footnote Text Char Char Char Char Char,Footnote Text Char Char Char Char,Footnote reference,FA Fu,ft Char Ch,Footnotes,Footnote ak"/>
    <w:basedOn w:val="Normal"/>
    <w:link w:val="NotedebasdepageCar"/>
    <w:qFormat/>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qFormat/>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Tableaugauchefranais"/>
    <w:pPr>
      <w:ind w:left="144" w:right="720"/>
      <w:jc w:val="both"/>
    </w:pPr>
    <w:rPr>
      <w:lang w:val="en-CA"/>
    </w:rPr>
  </w:style>
  <w:style w:type="paragraph" w:customStyle="1" w:styleId="Tableaugauchefranais">
    <w:name w:val="Tableau gauche français"/>
    <w:basedOn w:val="Normal"/>
    <w:pPr>
      <w:ind w:left="720" w:right="144"/>
    </w:pPr>
    <w:rPr>
      <w:sz w:val="22"/>
    </w:rPr>
  </w:style>
  <w:style w:type="character" w:styleId="Appelnotedebasdep">
    <w:name w:val="footnote reference"/>
    <w:aliases w:val="fr,Ref,de nota al pie,Char Char6 Char Char Char Char Char Char Char Char Char Char Char Char,Char6 Char Char Char Char Char Char Char Char Char Char Char Char Char,Footnote"/>
    <w:uiPriority w:val="99"/>
    <w:qFormat/>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table" w:styleId="Grilledutableau">
    <w:name w:val="Table Grid"/>
    <w:basedOn w:val="TableauNormal"/>
    <w:uiPriority w:val="39"/>
    <w:rsid w:val="00E2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2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239"/>
    <w:rPr>
      <w:rFonts w:ascii="Segoe UI" w:hAnsi="Segoe UI" w:cs="Segoe UI"/>
      <w:sz w:val="18"/>
      <w:szCs w:val="18"/>
      <w:lang w:eastAsia="fr-FR"/>
    </w:rPr>
  </w:style>
  <w:style w:type="character" w:customStyle="1" w:styleId="ParagrapheCar">
    <w:name w:val="Paragraphe Car"/>
    <w:link w:val="Paragraphe"/>
    <w:qFormat/>
    <w:rsid w:val="00164851"/>
    <w:rPr>
      <w:rFonts w:ascii="Arial" w:hAnsi="Arial"/>
      <w:kern w:val="28"/>
      <w:sz w:val="24"/>
      <w:lang w:eastAsia="fr-FR"/>
    </w:rPr>
  </w:style>
  <w:style w:type="character" w:customStyle="1" w:styleId="NotedebasdepageCar">
    <w:name w:val="Note de bas de page Car"/>
    <w:aliases w:val="Char Char Char Car,Char Char Car,ft Car,Footnote text Car,ft2 Car,fn Car,Char Car,Nota de rodapé Car,Char Char Char Char Char Car,Footnote Text Char Char Char Char Char Car,Footnote Text Char Char Char Char Car,FA Fu Car"/>
    <w:basedOn w:val="Policepardfaut"/>
    <w:link w:val="Notedebasdepage"/>
    <w:rsid w:val="00164851"/>
    <w:rPr>
      <w:rFonts w:ascii="Arial" w:hAnsi="Arial"/>
      <w:lang w:eastAsia="fr-FR"/>
    </w:rPr>
  </w:style>
  <w:style w:type="paragraph" w:styleId="Rvision">
    <w:name w:val="Revision"/>
    <w:hidden/>
    <w:uiPriority w:val="99"/>
    <w:semiHidden/>
    <w:rsid w:val="00AC2239"/>
    <w:rPr>
      <w:rFonts w:ascii="Arial" w:hAnsi="Arial"/>
      <w:sz w:val="24"/>
      <w:lang w:eastAsia="fr-FR"/>
    </w:rPr>
  </w:style>
  <w:style w:type="character" w:styleId="Marquedecommentaire">
    <w:name w:val="annotation reference"/>
    <w:basedOn w:val="Policepardfaut"/>
    <w:uiPriority w:val="99"/>
    <w:semiHidden/>
    <w:unhideWhenUsed/>
    <w:rsid w:val="00AC2239"/>
    <w:rPr>
      <w:sz w:val="16"/>
      <w:szCs w:val="16"/>
    </w:rPr>
  </w:style>
  <w:style w:type="paragraph" w:styleId="Commentaire">
    <w:name w:val="annotation text"/>
    <w:basedOn w:val="Normal"/>
    <w:link w:val="CommentaireCar"/>
    <w:uiPriority w:val="99"/>
    <w:unhideWhenUsed/>
    <w:rsid w:val="00AC2239"/>
    <w:pPr>
      <w:spacing w:line="240" w:lineRule="auto"/>
    </w:pPr>
    <w:rPr>
      <w:sz w:val="20"/>
    </w:rPr>
  </w:style>
  <w:style w:type="character" w:customStyle="1" w:styleId="CommentaireCar">
    <w:name w:val="Commentaire Car"/>
    <w:basedOn w:val="Policepardfaut"/>
    <w:link w:val="Commentaire"/>
    <w:uiPriority w:val="99"/>
    <w:rsid w:val="00AC2239"/>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AC2239"/>
    <w:rPr>
      <w:b/>
      <w:bCs/>
    </w:rPr>
  </w:style>
  <w:style w:type="character" w:customStyle="1" w:styleId="ObjetducommentaireCar">
    <w:name w:val="Objet du commentaire Car"/>
    <w:basedOn w:val="CommentaireCar"/>
    <w:link w:val="Objetducommentaire"/>
    <w:uiPriority w:val="99"/>
    <w:semiHidden/>
    <w:rsid w:val="00AC2239"/>
    <w:rPr>
      <w:rFonts w:ascii="Arial" w:hAnsi="Arial"/>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A525-8000-4EBF-92DB-64B5AB8AA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2125</Words>
  <Characters>11692</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Gabarit de jugement pour la cour d'appel</vt:lpstr>
    </vt:vector>
  </TitlesOfParts>
  <Manager>Patrice Tardif</Manager>
  <Company>MJQ</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de jugement pour la cour d'appel</dc:title>
  <dc:subject/>
  <dc:creator>Josée Boisvert</dc:creator>
  <cp:keywords/>
  <dc:description/>
  <cp:lastModifiedBy>Paillé, Pryscilla</cp:lastModifiedBy>
  <cp:revision>6</cp:revision>
  <cp:lastPrinted>2026-06-18T15:10:00Z</cp:lastPrinted>
  <dcterms:created xsi:type="dcterms:W3CDTF">2026-06-22T17:55:00Z</dcterms:created>
  <dcterms:modified xsi:type="dcterms:W3CDTF">2026-06-23T15:06:00Z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quij_DateModification">
    <vt:lpwstr>04-26-2001</vt:lpwstr>
  </property>
  <property fmtid="{D5CDD505-2E9C-101B-9397-08002B2CF9AE}" pid="3" name="Soquij_Version">
    <vt:lpwstr>1.6</vt:lpwstr>
  </property>
  <property fmtid="{D5CDD505-2E9C-101B-9397-08002B2CF9AE}" pid="4" name="Soquij_ModifiePar">
    <vt:lpwstr>renste</vt:lpwstr>
  </property>
  <property fmtid="{D5CDD505-2E9C-101B-9397-08002B2CF9AE}" pid="5" name="Soquij_Modele">
    <vt:lpwstr>Edj</vt:lpwstr>
  </property>
  <property fmtid="{D5CDD505-2E9C-101B-9397-08002B2CF9AE}" pid="6" name="Soquij_Cour">
    <vt:lpwstr>CA</vt:lpwstr>
  </property>
  <property fmtid="{D5CDD505-2E9C-101B-9397-08002B2CF9AE}" pid="7" name="Soquij_Langue">
    <vt:lpwstr>Fra</vt:lpwstr>
  </property>
</Properties>
</file>