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5" w:type="dxa"/>
        <w:tblLayout w:type="fixed"/>
        <w:tblCellMar>
          <w:left w:w="70" w:type="dxa"/>
          <w:right w:w="70" w:type="dxa"/>
        </w:tblCellMar>
        <w:tblLook w:val="0000" w:firstRow="0" w:lastRow="0" w:firstColumn="0" w:lastColumn="0" w:noHBand="0" w:noVBand="0"/>
      </w:tblPr>
      <w:tblGrid>
        <w:gridCol w:w="1036"/>
        <w:gridCol w:w="69"/>
        <w:gridCol w:w="510"/>
        <w:gridCol w:w="1585"/>
        <w:gridCol w:w="1826"/>
        <w:gridCol w:w="2064"/>
        <w:gridCol w:w="2415"/>
      </w:tblGrid>
      <w:tr w:rsidR="00352D71" w14:paraId="2CCA51F3" w14:textId="77777777">
        <w:trPr>
          <w:trHeight w:val="360"/>
        </w:trPr>
        <w:tc>
          <w:tcPr>
            <w:tcW w:w="7090" w:type="dxa"/>
            <w:gridSpan w:val="6"/>
          </w:tcPr>
          <w:p w14:paraId="1A6FEBB8" w14:textId="71449DCF" w:rsidR="00121A72" w:rsidRPr="00D53AAD" w:rsidRDefault="00D53AAD" w:rsidP="00D53AAD">
            <w:pPr>
              <w:pStyle w:val="zSoquijdatRepertorie"/>
              <w:rPr>
                <w:rFonts w:cs="Arial"/>
              </w:rPr>
            </w:pPr>
            <w:r>
              <w:rPr>
                <w:rFonts w:cs="Arial"/>
                <w:lang w:eastAsia="fr-CA"/>
              </w:rPr>
              <w:t>Barrette c. Facebook Canada Ltd.</w:t>
            </w:r>
          </w:p>
        </w:tc>
        <w:tc>
          <w:tcPr>
            <w:tcW w:w="2415" w:type="dxa"/>
          </w:tcPr>
          <w:p w14:paraId="52B2B4AE" w14:textId="6372BCF0" w:rsidR="00121A72" w:rsidRPr="00D23F31" w:rsidRDefault="00D23F31" w:rsidP="00D23F31">
            <w:pPr>
              <w:pStyle w:val="zSoquijdatRefNeutre"/>
              <w:jc w:val="right"/>
              <w:rPr>
                <w:rFonts w:cs="Arial"/>
              </w:rPr>
            </w:pPr>
            <w:r w:rsidRPr="00D23F31">
              <w:rPr>
                <w:rFonts w:cs="Arial"/>
              </w:rPr>
              <w:t>2026 QCCS 1681</w:t>
            </w:r>
          </w:p>
        </w:tc>
      </w:tr>
      <w:tr w:rsidR="00352D71" w14:paraId="4384BFC5" w14:textId="77777777">
        <w:trPr>
          <w:trHeight w:val="900"/>
        </w:trPr>
        <w:tc>
          <w:tcPr>
            <w:tcW w:w="9505" w:type="dxa"/>
            <w:gridSpan w:val="7"/>
            <w:vAlign w:val="bottom"/>
          </w:tcPr>
          <w:p w14:paraId="68B6AFD7" w14:textId="77777777" w:rsidR="00121A72" w:rsidRDefault="00B2678F" w:rsidP="00D26929">
            <w:pPr>
              <w:pStyle w:val="zSoquijlblCour"/>
            </w:pPr>
            <w:r>
              <w:t>COUR SUPÉRIEURE</w:t>
            </w:r>
          </w:p>
        </w:tc>
      </w:tr>
      <w:tr w:rsidR="00352D71" w14:paraId="47C6CDBD" w14:textId="77777777">
        <w:trPr>
          <w:trHeight w:val="540"/>
        </w:trPr>
        <w:tc>
          <w:tcPr>
            <w:tcW w:w="9505" w:type="dxa"/>
            <w:gridSpan w:val="7"/>
          </w:tcPr>
          <w:p w14:paraId="56BDBB49" w14:textId="77777777" w:rsidR="00121A72" w:rsidRDefault="00121A72" w:rsidP="00D26929">
            <w:pPr>
              <w:pStyle w:val="zSoquijdatDivision"/>
            </w:pPr>
          </w:p>
        </w:tc>
      </w:tr>
      <w:tr w:rsidR="00352D71" w14:paraId="2A29845F" w14:textId="77777777">
        <w:tc>
          <w:tcPr>
            <w:tcW w:w="9505" w:type="dxa"/>
            <w:gridSpan w:val="7"/>
          </w:tcPr>
          <w:p w14:paraId="30CFACEB" w14:textId="77777777" w:rsidR="00121A72" w:rsidRPr="00C025FC" w:rsidRDefault="00B2678F" w:rsidP="00D26929">
            <w:pPr>
              <w:pStyle w:val="zSoquijlblPays"/>
            </w:pPr>
            <w:r w:rsidRPr="00C025FC">
              <w:t>CANADA</w:t>
            </w:r>
          </w:p>
        </w:tc>
      </w:tr>
      <w:tr w:rsidR="00352D71" w14:paraId="328A7B2D" w14:textId="77777777">
        <w:tc>
          <w:tcPr>
            <w:tcW w:w="9505" w:type="dxa"/>
            <w:gridSpan w:val="7"/>
          </w:tcPr>
          <w:p w14:paraId="15C7F18D" w14:textId="77777777" w:rsidR="00121A72" w:rsidRDefault="00B2678F" w:rsidP="00D26929">
            <w:pPr>
              <w:pStyle w:val="zSoquijlblProvince"/>
            </w:pPr>
            <w:r>
              <w:t>PROVINCE DE QUÉBEC</w:t>
            </w:r>
          </w:p>
        </w:tc>
      </w:tr>
      <w:tr w:rsidR="00352D71" w14:paraId="3B18810A" w14:textId="77777777">
        <w:tblPrEx>
          <w:tblCellMar>
            <w:left w:w="0" w:type="dxa"/>
            <w:right w:w="0" w:type="dxa"/>
          </w:tblCellMar>
        </w:tblPrEx>
        <w:trPr>
          <w:cantSplit/>
        </w:trPr>
        <w:tc>
          <w:tcPr>
            <w:tcW w:w="1615" w:type="dxa"/>
            <w:gridSpan w:val="3"/>
          </w:tcPr>
          <w:p w14:paraId="05A435BB" w14:textId="77777777" w:rsidR="00121A72" w:rsidRDefault="00B2678F" w:rsidP="00D26929">
            <w:pPr>
              <w:pStyle w:val="zSoquijlblGreffe"/>
            </w:pPr>
            <w:r>
              <w:t>DISTRICT DE</w:t>
            </w:r>
          </w:p>
        </w:tc>
        <w:tc>
          <w:tcPr>
            <w:tcW w:w="7890" w:type="dxa"/>
            <w:gridSpan w:val="4"/>
          </w:tcPr>
          <w:p w14:paraId="07AE0C3F" w14:textId="77777777" w:rsidR="00121A72" w:rsidRDefault="00B2678F" w:rsidP="00D26929">
            <w:pPr>
              <w:pStyle w:val="zSoquijdatGreffe"/>
            </w:pPr>
            <w:r>
              <w:t>MONTRÉAL</w:t>
            </w:r>
          </w:p>
        </w:tc>
      </w:tr>
      <w:tr w:rsidR="00352D71" w14:paraId="49B2B7E9" w14:textId="77777777">
        <w:trPr>
          <w:trHeight w:val="540"/>
        </w:trPr>
        <w:tc>
          <w:tcPr>
            <w:tcW w:w="9505" w:type="dxa"/>
            <w:gridSpan w:val="7"/>
          </w:tcPr>
          <w:p w14:paraId="361B204B" w14:textId="77777777" w:rsidR="00121A72" w:rsidRDefault="00121A72" w:rsidP="00D26929">
            <w:pPr>
              <w:pStyle w:val="zSoquijlblNomChambre"/>
            </w:pPr>
          </w:p>
        </w:tc>
      </w:tr>
      <w:tr w:rsidR="00352D71" w14:paraId="791D7142" w14:textId="77777777">
        <w:tc>
          <w:tcPr>
            <w:tcW w:w="1105" w:type="dxa"/>
            <w:gridSpan w:val="2"/>
          </w:tcPr>
          <w:p w14:paraId="6846373D" w14:textId="77777777" w:rsidR="00121A72" w:rsidRDefault="00B2678F" w:rsidP="00D26929">
            <w:pPr>
              <w:pStyle w:val="zSoquijlblNoDossier"/>
            </w:pPr>
            <w:r>
              <w:t>N</w:t>
            </w:r>
            <w:r w:rsidR="008A7DDE">
              <w:rPr>
                <w:vertAlign w:val="superscript"/>
              </w:rPr>
              <w:t>o</w:t>
            </w:r>
            <w:r>
              <w:t> :</w:t>
            </w:r>
          </w:p>
        </w:tc>
        <w:tc>
          <w:tcPr>
            <w:tcW w:w="8400" w:type="dxa"/>
            <w:gridSpan w:val="5"/>
          </w:tcPr>
          <w:p w14:paraId="68C217F1" w14:textId="77777777" w:rsidR="00121A72" w:rsidRDefault="00B2678F" w:rsidP="009E7E11">
            <w:pPr>
              <w:pStyle w:val="zSoquijdatNoDossier"/>
              <w:ind w:left="-69"/>
            </w:pPr>
            <w:r w:rsidRPr="002557BA">
              <w:t>500-06-001299-243</w:t>
            </w:r>
          </w:p>
        </w:tc>
      </w:tr>
      <w:tr w:rsidR="00352D71" w14:paraId="799C7C7D" w14:textId="77777777">
        <w:trPr>
          <w:cantSplit/>
          <w:trHeight w:val="235"/>
        </w:trPr>
        <w:tc>
          <w:tcPr>
            <w:tcW w:w="9505" w:type="dxa"/>
            <w:gridSpan w:val="7"/>
          </w:tcPr>
          <w:p w14:paraId="798EE2B7" w14:textId="77777777" w:rsidR="00121A72" w:rsidRDefault="00121A72" w:rsidP="00D26929"/>
        </w:tc>
      </w:tr>
      <w:tr w:rsidR="00352D71" w14:paraId="63704334" w14:textId="77777777">
        <w:tc>
          <w:tcPr>
            <w:tcW w:w="1036" w:type="dxa"/>
          </w:tcPr>
          <w:p w14:paraId="0360CAEA" w14:textId="77777777" w:rsidR="00121A72" w:rsidRPr="004229E3" w:rsidRDefault="00B2678F" w:rsidP="00D26929">
            <w:pPr>
              <w:pStyle w:val="zSoquijlblDateJugement"/>
            </w:pPr>
            <w:r w:rsidRPr="004229E3">
              <w:t>DATE :</w:t>
            </w:r>
          </w:p>
        </w:tc>
        <w:tc>
          <w:tcPr>
            <w:tcW w:w="8469" w:type="dxa"/>
            <w:gridSpan w:val="6"/>
          </w:tcPr>
          <w:p w14:paraId="33551E18" w14:textId="77777777" w:rsidR="00121A72" w:rsidRDefault="00B2678F" w:rsidP="00D26929">
            <w:pPr>
              <w:pStyle w:val="zSoquijdatDateJugement"/>
            </w:pPr>
            <w:r w:rsidRPr="005E2A8B">
              <w:t>13</w:t>
            </w:r>
            <w:r w:rsidR="002557BA" w:rsidRPr="004229E3">
              <w:t xml:space="preserve"> </w:t>
            </w:r>
            <w:r w:rsidR="00847425" w:rsidRPr="004229E3">
              <w:t xml:space="preserve">mai </w:t>
            </w:r>
            <w:r w:rsidR="002557BA" w:rsidRPr="004229E3">
              <w:t>2026</w:t>
            </w:r>
          </w:p>
        </w:tc>
      </w:tr>
      <w:tr w:rsidR="00352D71" w14:paraId="73B8C54F" w14:textId="77777777">
        <w:tc>
          <w:tcPr>
            <w:tcW w:w="9505" w:type="dxa"/>
            <w:gridSpan w:val="7"/>
          </w:tcPr>
          <w:p w14:paraId="64CEFC7A" w14:textId="77777777" w:rsidR="00121A72" w:rsidRDefault="00B2678F" w:rsidP="00D26929">
            <w:pPr>
              <w:ind w:left="14" w:right="-67"/>
            </w:pPr>
            <w:r>
              <w:t>______________________________________________________________________</w:t>
            </w:r>
          </w:p>
        </w:tc>
      </w:tr>
      <w:tr w:rsidR="00352D71" w14:paraId="62FE605A" w14:textId="77777777">
        <w:tc>
          <w:tcPr>
            <w:tcW w:w="9505" w:type="dxa"/>
            <w:gridSpan w:val="7"/>
          </w:tcPr>
          <w:p w14:paraId="1276649C" w14:textId="77777777" w:rsidR="00121A72" w:rsidRDefault="00121A72" w:rsidP="00D26929"/>
        </w:tc>
      </w:tr>
      <w:tr w:rsidR="00352D71" w14:paraId="44572159" w14:textId="77777777">
        <w:tblPrEx>
          <w:tblCellMar>
            <w:left w:w="0" w:type="dxa"/>
            <w:right w:w="0" w:type="dxa"/>
          </w:tblCellMar>
        </w:tblPrEx>
        <w:tc>
          <w:tcPr>
            <w:tcW w:w="3200" w:type="dxa"/>
            <w:gridSpan w:val="4"/>
          </w:tcPr>
          <w:p w14:paraId="53C358ED" w14:textId="77777777" w:rsidR="00121A72" w:rsidRDefault="00B2678F" w:rsidP="00D26929">
            <w:pPr>
              <w:pStyle w:val="zSoquijlblJuge"/>
            </w:pPr>
            <w:r>
              <w:t>SOUS LA PRÉSIDENCE DE</w:t>
            </w:r>
          </w:p>
        </w:tc>
        <w:tc>
          <w:tcPr>
            <w:tcW w:w="1826" w:type="dxa"/>
          </w:tcPr>
          <w:p w14:paraId="08375C16" w14:textId="77777777" w:rsidR="00121A72" w:rsidRDefault="00B2678F" w:rsidP="00D26929">
            <w:pPr>
              <w:pStyle w:val="zSoquijdatQteJuge"/>
            </w:pPr>
            <w:r>
              <w:t>L’HONORABLE</w:t>
            </w:r>
          </w:p>
        </w:tc>
        <w:tc>
          <w:tcPr>
            <w:tcW w:w="4479" w:type="dxa"/>
            <w:gridSpan w:val="2"/>
          </w:tcPr>
          <w:p w14:paraId="4ED45F41" w14:textId="77777777" w:rsidR="00121A72" w:rsidRPr="002557BA" w:rsidRDefault="00B2678F" w:rsidP="00D26929">
            <w:pPr>
              <w:pStyle w:val="zSoquijdatJuge"/>
              <w:rPr>
                <w:lang w:val="en-CA"/>
              </w:rPr>
            </w:pPr>
            <w:r w:rsidRPr="002557BA">
              <w:rPr>
                <w:lang w:val="en-CA"/>
              </w:rPr>
              <w:t>MARTIN F. SHEEHAN</w:t>
            </w:r>
            <w:r w:rsidR="008A4532" w:rsidRPr="002557BA">
              <w:rPr>
                <w:lang w:val="en-CA"/>
              </w:rPr>
              <w:t>, J.C.S.</w:t>
            </w:r>
          </w:p>
        </w:tc>
      </w:tr>
      <w:tr w:rsidR="00352D71" w14:paraId="6E9A03E4" w14:textId="77777777">
        <w:tc>
          <w:tcPr>
            <w:tcW w:w="9505" w:type="dxa"/>
            <w:gridSpan w:val="7"/>
          </w:tcPr>
          <w:p w14:paraId="5DA719EA" w14:textId="77777777" w:rsidR="00121A72" w:rsidRDefault="00B2678F" w:rsidP="00D26929">
            <w:pPr>
              <w:ind w:left="14" w:right="-67"/>
            </w:pPr>
            <w:r>
              <w:t>______________________________________________________________________</w:t>
            </w:r>
          </w:p>
        </w:tc>
      </w:tr>
      <w:tr w:rsidR="00352D71" w14:paraId="4162F959" w14:textId="77777777">
        <w:tc>
          <w:tcPr>
            <w:tcW w:w="9505" w:type="dxa"/>
            <w:gridSpan w:val="7"/>
          </w:tcPr>
          <w:p w14:paraId="25943286" w14:textId="77777777" w:rsidR="00121A72" w:rsidRDefault="00121A72" w:rsidP="00D26929">
            <w:pPr>
              <w:pStyle w:val="zSoquijlblTitrePartie"/>
            </w:pPr>
          </w:p>
        </w:tc>
      </w:tr>
      <w:tr w:rsidR="00352D71" w14:paraId="078BEBCA" w14:textId="77777777">
        <w:tc>
          <w:tcPr>
            <w:tcW w:w="9505" w:type="dxa"/>
            <w:gridSpan w:val="7"/>
          </w:tcPr>
          <w:p w14:paraId="0D04ADCB" w14:textId="77777777" w:rsidR="00121A72" w:rsidRDefault="00121A72" w:rsidP="00D26929"/>
        </w:tc>
      </w:tr>
      <w:tr w:rsidR="00352D71" w14:paraId="66DADCC7" w14:textId="77777777">
        <w:tc>
          <w:tcPr>
            <w:tcW w:w="9505" w:type="dxa"/>
            <w:gridSpan w:val="7"/>
          </w:tcPr>
          <w:p w14:paraId="1DE149D9" w14:textId="77777777" w:rsidR="00121A72" w:rsidRDefault="00B2678F" w:rsidP="00D26929">
            <w:pPr>
              <w:pStyle w:val="zSoquijdatNomPartieDem"/>
            </w:pPr>
            <w:r w:rsidRPr="002557BA">
              <w:t>MARIE-CLAUDE BARRETTE</w:t>
            </w:r>
          </w:p>
        </w:tc>
      </w:tr>
      <w:tr w:rsidR="00352D71" w14:paraId="49CD3CFB" w14:textId="77777777">
        <w:tc>
          <w:tcPr>
            <w:tcW w:w="9505" w:type="dxa"/>
            <w:gridSpan w:val="7"/>
          </w:tcPr>
          <w:p w14:paraId="75549B0D" w14:textId="77777777" w:rsidR="00121A72" w:rsidRDefault="00B2678F" w:rsidP="00D26929">
            <w:pPr>
              <w:pStyle w:val="zSoquijdatQtePartieDem"/>
            </w:pPr>
            <w:r>
              <w:t>Demanderesse</w:t>
            </w:r>
          </w:p>
        </w:tc>
      </w:tr>
      <w:tr w:rsidR="00352D71" w14:paraId="3457DC0B" w14:textId="77777777">
        <w:tc>
          <w:tcPr>
            <w:tcW w:w="9505" w:type="dxa"/>
            <w:gridSpan w:val="7"/>
          </w:tcPr>
          <w:p w14:paraId="61A93B61" w14:textId="77777777" w:rsidR="00121A72" w:rsidRDefault="00B2678F" w:rsidP="00D26929">
            <w:pPr>
              <w:pStyle w:val="zSoquijlblLienParties"/>
            </w:pPr>
            <w:r>
              <w:t>c.</w:t>
            </w:r>
          </w:p>
        </w:tc>
      </w:tr>
      <w:tr w:rsidR="00352D71" w14:paraId="30624609" w14:textId="77777777">
        <w:tc>
          <w:tcPr>
            <w:tcW w:w="9505" w:type="dxa"/>
            <w:gridSpan w:val="7"/>
          </w:tcPr>
          <w:p w14:paraId="29A169BD" w14:textId="77777777" w:rsidR="00121A72" w:rsidRDefault="00B2678F" w:rsidP="00D26929">
            <w:pPr>
              <w:pStyle w:val="zSoquijdatNomPartieDef"/>
            </w:pPr>
            <w:r w:rsidRPr="002557BA">
              <w:t>FACEBOOK CANADA LTD</w:t>
            </w:r>
          </w:p>
        </w:tc>
      </w:tr>
      <w:tr w:rsidR="00352D71" w14:paraId="4F9CC11A" w14:textId="77777777">
        <w:tc>
          <w:tcPr>
            <w:tcW w:w="9505" w:type="dxa"/>
            <w:gridSpan w:val="7"/>
          </w:tcPr>
          <w:p w14:paraId="4525A0F5" w14:textId="77777777" w:rsidR="002557BA" w:rsidRPr="002557BA" w:rsidRDefault="00B2678F" w:rsidP="00D26929">
            <w:pPr>
              <w:pStyle w:val="zSoquijdatNomPartieDef"/>
              <w:rPr>
                <w:b w:val="0"/>
                <w:bCs w:val="0"/>
              </w:rPr>
            </w:pPr>
            <w:r>
              <w:rPr>
                <w:b w:val="0"/>
                <w:bCs w:val="0"/>
              </w:rPr>
              <w:t>et</w:t>
            </w:r>
          </w:p>
        </w:tc>
      </w:tr>
      <w:tr w:rsidR="00352D71" w14:paraId="2942A0BE" w14:textId="77777777">
        <w:tc>
          <w:tcPr>
            <w:tcW w:w="9505" w:type="dxa"/>
            <w:gridSpan w:val="7"/>
          </w:tcPr>
          <w:p w14:paraId="4BA8E414" w14:textId="77777777" w:rsidR="002557BA" w:rsidRPr="002557BA" w:rsidRDefault="00B2678F" w:rsidP="00D26929">
            <w:pPr>
              <w:pStyle w:val="zSoquijdatNomPartieDef"/>
            </w:pPr>
            <w:r w:rsidRPr="002557BA">
              <w:t>META PLATFORMS, INC.</w:t>
            </w:r>
          </w:p>
        </w:tc>
      </w:tr>
      <w:tr w:rsidR="00352D71" w14:paraId="0FBE261E" w14:textId="77777777">
        <w:tc>
          <w:tcPr>
            <w:tcW w:w="9505" w:type="dxa"/>
            <w:gridSpan w:val="7"/>
          </w:tcPr>
          <w:p w14:paraId="7C1D6BD1" w14:textId="77777777" w:rsidR="00121A72" w:rsidRDefault="00B2678F" w:rsidP="00D26929">
            <w:pPr>
              <w:pStyle w:val="zSoquijdatQtePartieDef"/>
            </w:pPr>
            <w:r>
              <w:t>Défenderesses</w:t>
            </w:r>
          </w:p>
        </w:tc>
      </w:tr>
      <w:tr w:rsidR="00352D71" w14:paraId="169EAEDC" w14:textId="77777777">
        <w:tc>
          <w:tcPr>
            <w:tcW w:w="9505" w:type="dxa"/>
            <w:gridSpan w:val="7"/>
          </w:tcPr>
          <w:p w14:paraId="0CC903AD" w14:textId="77777777" w:rsidR="00121A72" w:rsidRDefault="00121A72" w:rsidP="00D26929">
            <w:pPr>
              <w:ind w:left="14" w:right="-95"/>
            </w:pPr>
          </w:p>
        </w:tc>
      </w:tr>
      <w:tr w:rsidR="00352D71" w14:paraId="7EA30665" w14:textId="77777777">
        <w:tc>
          <w:tcPr>
            <w:tcW w:w="9505" w:type="dxa"/>
            <w:gridSpan w:val="7"/>
          </w:tcPr>
          <w:p w14:paraId="60A6EB70" w14:textId="77777777" w:rsidR="00121A72" w:rsidRDefault="00B2678F" w:rsidP="00D26929">
            <w:pPr>
              <w:ind w:left="14" w:right="-95"/>
            </w:pPr>
            <w:r>
              <w:t>______________________________________________________________________</w:t>
            </w:r>
          </w:p>
        </w:tc>
      </w:tr>
      <w:tr w:rsidR="00352D71" w14:paraId="628B4DD6" w14:textId="77777777">
        <w:tc>
          <w:tcPr>
            <w:tcW w:w="9505" w:type="dxa"/>
            <w:gridSpan w:val="7"/>
          </w:tcPr>
          <w:p w14:paraId="4F39414F" w14:textId="77777777" w:rsidR="00121A72" w:rsidRDefault="00121A72" w:rsidP="00D26929">
            <w:pPr>
              <w:jc w:val="center"/>
            </w:pPr>
          </w:p>
        </w:tc>
      </w:tr>
      <w:tr w:rsidR="00352D71" w14:paraId="5282F7CA" w14:textId="77777777">
        <w:tc>
          <w:tcPr>
            <w:tcW w:w="9505" w:type="dxa"/>
            <w:gridSpan w:val="7"/>
          </w:tcPr>
          <w:p w14:paraId="1535F84A" w14:textId="77777777" w:rsidR="00121A72" w:rsidRPr="008E32C1" w:rsidRDefault="00B2678F" w:rsidP="00D26929">
            <w:pPr>
              <w:pStyle w:val="zSoquijlblTypeDocument"/>
              <w:rPr>
                <w:b/>
                <w:bCs/>
              </w:rPr>
            </w:pPr>
            <w:r w:rsidRPr="00E34FF2">
              <w:rPr>
                <w:b/>
                <w:bCs/>
              </w:rPr>
              <w:t xml:space="preserve">JUGEMENT SUR UNE DEMANDE </w:t>
            </w:r>
            <w:r w:rsidR="00847425">
              <w:rPr>
                <w:b/>
                <w:bCs/>
              </w:rPr>
              <w:t>D’</w:t>
            </w:r>
            <w:r w:rsidR="00847425" w:rsidRPr="00847425">
              <w:rPr>
                <w:b/>
                <w:bCs/>
              </w:rPr>
              <w:t>autorisation d’exercer une action collective et pour être</w:t>
            </w:r>
            <w:r w:rsidR="00847425">
              <w:rPr>
                <w:b/>
                <w:bCs/>
              </w:rPr>
              <w:t xml:space="preserve"> NOMMÉE</w:t>
            </w:r>
            <w:r w:rsidR="00847425" w:rsidRPr="00847425">
              <w:rPr>
                <w:b/>
                <w:bCs/>
              </w:rPr>
              <w:t xml:space="preserve"> représentante</w:t>
            </w:r>
          </w:p>
        </w:tc>
      </w:tr>
      <w:tr w:rsidR="00352D71" w14:paraId="21047FD7" w14:textId="77777777">
        <w:tc>
          <w:tcPr>
            <w:tcW w:w="9505" w:type="dxa"/>
            <w:gridSpan w:val="7"/>
          </w:tcPr>
          <w:p w14:paraId="0568D01C" w14:textId="77777777" w:rsidR="00121A72" w:rsidRDefault="00B2678F" w:rsidP="00D26929">
            <w:pPr>
              <w:ind w:left="14" w:right="-70"/>
            </w:pPr>
            <w:r>
              <w:t>______________________________________________________________________</w:t>
            </w:r>
          </w:p>
        </w:tc>
      </w:tr>
      <w:tr w:rsidR="00352D71" w14:paraId="2772BB57" w14:textId="77777777">
        <w:tc>
          <w:tcPr>
            <w:tcW w:w="9505" w:type="dxa"/>
            <w:gridSpan w:val="7"/>
          </w:tcPr>
          <w:p w14:paraId="44A92163" w14:textId="77777777" w:rsidR="00121A72" w:rsidRPr="00D47A26" w:rsidRDefault="00121A72" w:rsidP="00D26929"/>
        </w:tc>
      </w:tr>
    </w:tbl>
    <w:p w14:paraId="7789D36A" w14:textId="77777777" w:rsidR="00E34FF2" w:rsidRPr="00772542" w:rsidRDefault="00B2678F" w:rsidP="00E34FF2">
      <w:pPr>
        <w:pStyle w:val="Titre1"/>
      </w:pPr>
      <w:bookmarkStart w:id="0" w:name="_Toc45807135"/>
      <w:bookmarkStart w:id="1" w:name="_Toc56788859"/>
      <w:bookmarkStart w:id="2" w:name="_Toc430945543"/>
      <w:r w:rsidRPr="00772542">
        <w:t>APERÇU</w:t>
      </w:r>
      <w:bookmarkEnd w:id="0"/>
      <w:bookmarkEnd w:id="1"/>
    </w:p>
    <w:p w14:paraId="7D808F67" w14:textId="77777777" w:rsidR="00E34FF2" w:rsidRDefault="00B2678F" w:rsidP="00E34FF2">
      <w:pPr>
        <w:pStyle w:val="Paragrsimple"/>
        <w:numPr>
          <w:ilvl w:val="0"/>
          <w:numId w:val="1"/>
        </w:numPr>
        <w:tabs>
          <w:tab w:val="clear" w:pos="360"/>
        </w:tabs>
      </w:pPr>
      <w:r w:rsidRPr="00BF1697">
        <w:t>L</w:t>
      </w:r>
      <w:r w:rsidR="006906F7">
        <w:t>a</w:t>
      </w:r>
      <w:r w:rsidRPr="00BF1697">
        <w:t xml:space="preserve"> demande</w:t>
      </w:r>
      <w:r>
        <w:t xml:space="preserve">resse, madame Marie-Claude Barrette </w:t>
      </w:r>
      <w:r w:rsidR="00847425">
        <w:t xml:space="preserve">(la </w:t>
      </w:r>
      <w:r>
        <w:t>« </w:t>
      </w:r>
      <w:r w:rsidRPr="00597666">
        <w:rPr>
          <w:b/>
          <w:bCs/>
        </w:rPr>
        <w:t>Demanderesse</w:t>
      </w:r>
      <w:r>
        <w:t> »)</w:t>
      </w:r>
      <w:r w:rsidR="00847425">
        <w:t>,</w:t>
      </w:r>
      <w:r>
        <w:t xml:space="preserve"> </w:t>
      </w:r>
      <w:r w:rsidR="006906F7">
        <w:t>demande à</w:t>
      </w:r>
      <w:r w:rsidRPr="00BF1697">
        <w:t xml:space="preserve"> </w:t>
      </w:r>
      <w:r>
        <w:t xml:space="preserve">la </w:t>
      </w:r>
      <w:r w:rsidRPr="00BF1697">
        <w:t xml:space="preserve">Cour </w:t>
      </w:r>
      <w:r w:rsidR="006906F7">
        <w:t xml:space="preserve">supérieure l’autorisation </w:t>
      </w:r>
      <w:r w:rsidRPr="00BF1697">
        <w:t>d’exercer une action</w:t>
      </w:r>
      <w:r>
        <w:t xml:space="preserve"> </w:t>
      </w:r>
      <w:r w:rsidRPr="00BF1697">
        <w:t xml:space="preserve">collective </w:t>
      </w:r>
      <w:r>
        <w:t>(la « </w:t>
      </w:r>
      <w:r w:rsidRPr="00597666">
        <w:rPr>
          <w:b/>
          <w:bCs/>
        </w:rPr>
        <w:t>Demande d’autorisation</w:t>
      </w:r>
      <w:r>
        <w:t xml:space="preserve"> »). Elle </w:t>
      </w:r>
      <w:r w:rsidR="006906F7">
        <w:t xml:space="preserve">souhaite </w:t>
      </w:r>
      <w:r>
        <w:t xml:space="preserve">représenter </w:t>
      </w:r>
      <w:r w:rsidRPr="00BF1697">
        <w:t>d</w:t>
      </w:r>
      <w:r>
        <w:t xml:space="preserve">es </w:t>
      </w:r>
      <w:r w:rsidR="00847425">
        <w:t xml:space="preserve">personnalités </w:t>
      </w:r>
      <w:r>
        <w:t>québécoises (individuellement</w:t>
      </w:r>
      <w:r w:rsidR="00C76F8B">
        <w:t>,</w:t>
      </w:r>
      <w:r>
        <w:t xml:space="preserve"> les « </w:t>
      </w:r>
      <w:r w:rsidRPr="00D038DA">
        <w:rPr>
          <w:b/>
          <w:bCs/>
        </w:rPr>
        <w:t>Membres</w:t>
      </w:r>
      <w:r>
        <w:t> »</w:t>
      </w:r>
      <w:r w:rsidR="00C76F8B">
        <w:t xml:space="preserve"> et</w:t>
      </w:r>
      <w:r w:rsidR="006906F7">
        <w:t xml:space="preserve"> </w:t>
      </w:r>
      <w:r>
        <w:t>collectivement</w:t>
      </w:r>
      <w:r w:rsidR="00C76F8B">
        <w:t>,</w:t>
      </w:r>
      <w:r>
        <w:t xml:space="preserve"> le « </w:t>
      </w:r>
      <w:r w:rsidRPr="00597666">
        <w:rPr>
          <w:b/>
          <w:bCs/>
        </w:rPr>
        <w:t>Groupe</w:t>
      </w:r>
      <w:r>
        <w:t xml:space="preserve"> ») </w:t>
      </w:r>
      <w:r w:rsidRPr="00BF1697">
        <w:t>dont la réputation a</w:t>
      </w:r>
      <w:r w:rsidR="006906F7">
        <w:t>urait</w:t>
      </w:r>
      <w:r w:rsidRPr="00BF1697">
        <w:t xml:space="preserve"> été </w:t>
      </w:r>
      <w:r w:rsidR="006906F7">
        <w:t xml:space="preserve">compromise </w:t>
      </w:r>
      <w:r>
        <w:t>à la suite de l’utilisation d</w:t>
      </w:r>
      <w:r w:rsidRPr="00BF1697">
        <w:t xml:space="preserve">e leur nom </w:t>
      </w:r>
      <w:r w:rsidR="00537C98">
        <w:t xml:space="preserve">pour </w:t>
      </w:r>
      <w:r w:rsidRPr="00BF1697">
        <w:t xml:space="preserve">attirer ou influencer </w:t>
      </w:r>
      <w:r>
        <w:t xml:space="preserve">le </w:t>
      </w:r>
      <w:r w:rsidRPr="00BF1697">
        <w:t xml:space="preserve">public </w:t>
      </w:r>
      <w:r w:rsidR="00847425">
        <w:t>au</w:t>
      </w:r>
      <w:r w:rsidRPr="00BF1697">
        <w:t xml:space="preserve"> moyen</w:t>
      </w:r>
      <w:r>
        <w:t xml:space="preserve"> </w:t>
      </w:r>
      <w:r w:rsidRPr="00BF1697">
        <w:t>de publicités frauduleuses, fausses ou trompeuses publiées sur</w:t>
      </w:r>
      <w:r>
        <w:t xml:space="preserve"> le site </w:t>
      </w:r>
      <w:r w:rsidRPr="00BF1697">
        <w:t xml:space="preserve">Facebook </w:t>
      </w:r>
      <w:r>
        <w:t xml:space="preserve">des défenderesses Meta Platforms </w:t>
      </w:r>
      <w:r w:rsidR="00847425">
        <w:t>inc</w:t>
      </w:r>
      <w:r>
        <w:t>. (« </w:t>
      </w:r>
      <w:r w:rsidRPr="00597666">
        <w:rPr>
          <w:b/>
          <w:bCs/>
        </w:rPr>
        <w:t>Meta</w:t>
      </w:r>
      <w:r>
        <w:t xml:space="preserve"> ») et Facebook Canada </w:t>
      </w:r>
      <w:r w:rsidR="00847425">
        <w:t>inc</w:t>
      </w:r>
      <w:r>
        <w:t>. (« </w:t>
      </w:r>
      <w:r w:rsidRPr="00597666">
        <w:rPr>
          <w:b/>
          <w:bCs/>
        </w:rPr>
        <w:t>Facebook Canada</w:t>
      </w:r>
      <w:r>
        <w:t> »</w:t>
      </w:r>
      <w:r w:rsidR="006906F7">
        <w:t>)</w:t>
      </w:r>
      <w:r>
        <w:t xml:space="preserve"> </w:t>
      </w:r>
      <w:r w:rsidR="006906F7">
        <w:t xml:space="preserve">(collectivement </w:t>
      </w:r>
      <w:r>
        <w:t>avec Meta</w:t>
      </w:r>
      <w:r w:rsidR="006906F7">
        <w:t>,</w:t>
      </w:r>
      <w:r>
        <w:t xml:space="preserve"> les « </w:t>
      </w:r>
      <w:r w:rsidRPr="00597666">
        <w:rPr>
          <w:b/>
          <w:bCs/>
        </w:rPr>
        <w:t>Défenderesses</w:t>
      </w:r>
      <w:r>
        <w:t xml:space="preserve"> »). Selon la Demanderesse, ces publicités </w:t>
      </w:r>
      <w:r w:rsidRPr="00BF1697">
        <w:t xml:space="preserve">présentent </w:t>
      </w:r>
      <w:r>
        <w:t xml:space="preserve">des célébrités </w:t>
      </w:r>
      <w:r w:rsidRPr="00BF1697">
        <w:t xml:space="preserve">comme </w:t>
      </w:r>
      <w:r>
        <w:t xml:space="preserve">endossant </w:t>
      </w:r>
      <w:r w:rsidRPr="00BF1697">
        <w:t>un produit ou</w:t>
      </w:r>
      <w:r>
        <w:t xml:space="preserve"> un </w:t>
      </w:r>
      <w:r w:rsidRPr="00BF1697">
        <w:t xml:space="preserve">service </w:t>
      </w:r>
      <w:r>
        <w:t>afin d’</w:t>
      </w:r>
      <w:r w:rsidRPr="00BF1697">
        <w:t>incite</w:t>
      </w:r>
      <w:r>
        <w:t xml:space="preserve">r </w:t>
      </w:r>
      <w:r w:rsidRPr="00BF1697">
        <w:t>le public à cliquer sur des liens frauduleux</w:t>
      </w:r>
      <w:r w:rsidR="006906F7">
        <w:t>, lesquels</w:t>
      </w:r>
      <w:r>
        <w:t xml:space="preserve"> </w:t>
      </w:r>
      <w:r w:rsidR="00537C98">
        <w:t>relèveraient</w:t>
      </w:r>
      <w:r w:rsidRPr="00BF1697">
        <w:t xml:space="preserve"> </w:t>
      </w:r>
      <w:r w:rsidR="00537C98">
        <w:t>d’</w:t>
      </w:r>
      <w:r w:rsidRPr="00BF1697">
        <w:t>une escroquerie</w:t>
      </w:r>
      <w:r>
        <w:t>.</w:t>
      </w:r>
    </w:p>
    <w:p w14:paraId="480A5309" w14:textId="77777777" w:rsidR="00E34FF2" w:rsidRDefault="00B2678F" w:rsidP="00552E4B">
      <w:pPr>
        <w:pStyle w:val="Paragrsimple"/>
        <w:keepNext/>
        <w:numPr>
          <w:ilvl w:val="0"/>
          <w:numId w:val="1"/>
        </w:numPr>
        <w:tabs>
          <w:tab w:val="clear" w:pos="360"/>
        </w:tabs>
      </w:pPr>
      <w:r>
        <w:lastRenderedPageBreak/>
        <w:t>Les Défenderesses contestent la demande d’autorisation au motif que :</w:t>
      </w:r>
    </w:p>
    <w:p w14:paraId="4F205A68" w14:textId="77777777" w:rsidR="00E34FF2" w:rsidRDefault="00B2678F" w:rsidP="00552E4B">
      <w:pPr>
        <w:pStyle w:val="Sous-paragraphe"/>
        <w:keepNext/>
        <w:numPr>
          <w:ilvl w:val="1"/>
          <w:numId w:val="1"/>
        </w:numPr>
        <w:tabs>
          <w:tab w:val="clear" w:pos="1000"/>
          <w:tab w:val="num" w:pos="1701"/>
        </w:tabs>
        <w:ind w:left="1701" w:hanging="992"/>
      </w:pPr>
      <w:r>
        <w:t>la Cour n’a pas juridiction pour entendre l’action collective; et</w:t>
      </w:r>
    </w:p>
    <w:p w14:paraId="27393554" w14:textId="77777777" w:rsidR="00E34FF2" w:rsidRDefault="00B2678F" w:rsidP="00E34FF2">
      <w:pPr>
        <w:pStyle w:val="Sous-paragraphe"/>
        <w:numPr>
          <w:ilvl w:val="1"/>
          <w:numId w:val="1"/>
        </w:numPr>
        <w:tabs>
          <w:tab w:val="clear" w:pos="1000"/>
          <w:tab w:val="num" w:pos="1701"/>
        </w:tabs>
        <w:ind w:left="1701" w:hanging="992"/>
      </w:pPr>
      <w:r>
        <w:t>les critères d’autorisation ne sont pas satisfaits.</w:t>
      </w:r>
    </w:p>
    <w:p w14:paraId="58BFA06B" w14:textId="77777777" w:rsidR="00E34FF2" w:rsidRDefault="00B2678F" w:rsidP="00E34FF2">
      <w:pPr>
        <w:pStyle w:val="Titre1"/>
      </w:pPr>
      <w:r>
        <w:t>CONTEXTE</w:t>
      </w:r>
    </w:p>
    <w:p w14:paraId="4A7A1EF5" w14:textId="77777777" w:rsidR="00E34FF2" w:rsidRDefault="00B2678F" w:rsidP="00E34FF2">
      <w:pPr>
        <w:pStyle w:val="Paragrsimple"/>
        <w:numPr>
          <w:ilvl w:val="0"/>
          <w:numId w:val="1"/>
        </w:numPr>
        <w:tabs>
          <w:tab w:val="clear" w:pos="360"/>
        </w:tabs>
      </w:pPr>
      <w:r>
        <w:t>Le 15 mars 2024, la Demanderesse et un autre demandeur déposent une première version de la Demande d’autorisation</w:t>
      </w:r>
      <w:r w:rsidR="00537C98">
        <w:t>, laquelle</w:t>
      </w:r>
      <w:r>
        <w:t xml:space="preserve"> vise essentiellement deux sous-groupes :</w:t>
      </w:r>
    </w:p>
    <w:p w14:paraId="4A028108" w14:textId="77777777" w:rsidR="00E34FF2" w:rsidRDefault="00B2678F" w:rsidP="00E34FF2">
      <w:pPr>
        <w:pStyle w:val="Sous-paragraphe"/>
        <w:numPr>
          <w:ilvl w:val="1"/>
          <w:numId w:val="1"/>
        </w:numPr>
        <w:tabs>
          <w:tab w:val="clear" w:pos="1000"/>
          <w:tab w:val="num" w:pos="1701"/>
        </w:tabs>
        <w:ind w:left="1701" w:hanging="992"/>
      </w:pPr>
      <w:r>
        <w:t xml:space="preserve">Des </w:t>
      </w:r>
      <w:r w:rsidR="00537C98">
        <w:t xml:space="preserve">personnalités </w:t>
      </w:r>
      <w:r>
        <w:t>connues résid</w:t>
      </w:r>
      <w:r w:rsidR="00537C98">
        <w:t>ant</w:t>
      </w:r>
      <w:r>
        <w:t xml:space="preserve"> </w:t>
      </w:r>
      <w:r w:rsidR="00537C98">
        <w:t>au</w:t>
      </w:r>
      <w:r>
        <w:t xml:space="preserve"> Québec, dont la réputation </w:t>
      </w:r>
      <w:r w:rsidR="00537C98" w:rsidRPr="004229E3">
        <w:t>aurait</w:t>
      </w:r>
      <w:r w:rsidR="00537C98">
        <w:t xml:space="preserve"> </w:t>
      </w:r>
      <w:r>
        <w:t xml:space="preserve">été atteinte </w:t>
      </w:r>
      <w:r w:rsidR="00537C98">
        <w:t xml:space="preserve">en raison de l’utilisation de leur </w:t>
      </w:r>
      <w:r w:rsidR="00E075F8">
        <w:t xml:space="preserve">nom </w:t>
      </w:r>
      <w:r w:rsidR="00537C98">
        <w:t>pour</w:t>
      </w:r>
      <w:r>
        <w:t xml:space="preserve"> attirer le public sur des sites frauduleux par le biais de fausses publicités</w:t>
      </w:r>
      <w:r w:rsidR="00E075F8">
        <w:t xml:space="preserve"> diffusées</w:t>
      </w:r>
      <w:r>
        <w:t xml:space="preserve"> sur le site Facebook</w:t>
      </w:r>
      <w:r w:rsidR="00E075F8">
        <w:t>,</w:t>
      </w:r>
      <w:r>
        <w:t xml:space="preserve"> </w:t>
      </w:r>
      <w:r w:rsidR="00E075F8">
        <w:t xml:space="preserve">lesquelles </w:t>
      </w:r>
      <w:r>
        <w:t>les présentent</w:t>
      </w:r>
      <w:r w:rsidR="00E075F8">
        <w:t xml:space="preserve"> à tort</w:t>
      </w:r>
      <w:r>
        <w:t xml:space="preserve"> comme </w:t>
      </w:r>
      <w:r w:rsidR="00E075F8">
        <w:t xml:space="preserve">appuyant un </w:t>
      </w:r>
      <w:r>
        <w:t>investissement qui s’avère être une escroquerie (le « </w:t>
      </w:r>
      <w:r w:rsidRPr="000D4216">
        <w:rPr>
          <w:b/>
          <w:bCs/>
        </w:rPr>
        <w:t>Sous-groupe 1</w:t>
      </w:r>
      <w:r>
        <w:t> »);</w:t>
      </w:r>
    </w:p>
    <w:p w14:paraId="5D1CFC8D" w14:textId="77777777" w:rsidR="00E34FF2" w:rsidRDefault="00B2678F" w:rsidP="00E34FF2">
      <w:pPr>
        <w:pStyle w:val="Sous-paragraphe"/>
        <w:numPr>
          <w:ilvl w:val="1"/>
          <w:numId w:val="1"/>
        </w:numPr>
        <w:tabs>
          <w:tab w:val="clear" w:pos="1000"/>
          <w:tab w:val="num" w:pos="1701"/>
        </w:tabs>
        <w:ind w:left="1701" w:hanging="992"/>
      </w:pPr>
      <w:r>
        <w:t xml:space="preserve">Les résidents </w:t>
      </w:r>
      <w:r w:rsidR="00E075F8">
        <w:t xml:space="preserve">du </w:t>
      </w:r>
      <w:r>
        <w:t xml:space="preserve">Québec qui ont été victimes d’une escroquerie parce qu’ils ont investi dans un produit après </w:t>
      </w:r>
      <w:r w:rsidR="00E075F8">
        <w:t xml:space="preserve">y </w:t>
      </w:r>
      <w:r>
        <w:t>avoir été incité</w:t>
      </w:r>
      <w:r w:rsidR="00E075F8">
        <w:t>s</w:t>
      </w:r>
      <w:r>
        <w:t xml:space="preserve"> par une fausse publicité </w:t>
      </w:r>
      <w:r w:rsidR="00E075F8">
        <w:t xml:space="preserve">diffusée </w:t>
      </w:r>
      <w:r>
        <w:t>sur le site Facebook</w:t>
      </w:r>
      <w:r w:rsidR="00E075F8">
        <w:t>, laquelle fait référence</w:t>
      </w:r>
      <w:r>
        <w:t xml:space="preserve"> </w:t>
      </w:r>
      <w:r w:rsidR="00E075F8">
        <w:t>aux</w:t>
      </w:r>
      <w:r>
        <w:t xml:space="preserve"> personnes visées par le Sous-groupe 1 (le « </w:t>
      </w:r>
      <w:r w:rsidRPr="000D4216">
        <w:rPr>
          <w:b/>
          <w:bCs/>
        </w:rPr>
        <w:t>Sous-groupe 2</w:t>
      </w:r>
      <w:r>
        <w:t> »).</w:t>
      </w:r>
    </w:p>
    <w:p w14:paraId="3C119599" w14:textId="77777777" w:rsidR="00E34FF2" w:rsidRDefault="00B2678F" w:rsidP="00E34FF2">
      <w:pPr>
        <w:pStyle w:val="Paragrsimple"/>
        <w:numPr>
          <w:ilvl w:val="0"/>
          <w:numId w:val="1"/>
        </w:numPr>
        <w:tabs>
          <w:tab w:val="clear" w:pos="360"/>
        </w:tabs>
      </w:pPr>
      <w:r>
        <w:t xml:space="preserve">Le 2 juin 2025, compte tenu du chevauchement entre le Sous-groupe 2 et le groupe proposé dans le dossier </w:t>
      </w:r>
      <w:r w:rsidR="00E075F8">
        <w:t>n°</w:t>
      </w:r>
      <w:r>
        <w:t>500-06-001236-237 (le « </w:t>
      </w:r>
      <w:r w:rsidRPr="0008081A">
        <w:rPr>
          <w:b/>
          <w:bCs/>
        </w:rPr>
        <w:t>Dossier Gauthier</w:t>
      </w:r>
      <w:r>
        <w:t> »), la juge Florence Lucas suspend la Demande d’autorisation dans le présent dossier en ce qui concerne le Sous-groupe 2</w:t>
      </w:r>
      <w:r>
        <w:rPr>
          <w:rStyle w:val="Appelnotedebasdep"/>
        </w:rPr>
        <w:footnoteReference w:id="1"/>
      </w:r>
      <w:r>
        <w:t>.</w:t>
      </w:r>
    </w:p>
    <w:p w14:paraId="09A4E966" w14:textId="77777777" w:rsidR="00E34FF2" w:rsidRDefault="00B2678F" w:rsidP="00E34FF2">
      <w:pPr>
        <w:pStyle w:val="Paragrsimple"/>
        <w:numPr>
          <w:ilvl w:val="0"/>
          <w:numId w:val="1"/>
        </w:numPr>
        <w:tabs>
          <w:tab w:val="clear" w:pos="360"/>
        </w:tabs>
      </w:pPr>
      <w:r>
        <w:t>La Demanderesse poursuit la Demande d’autorisation en ce qui concerne le</w:t>
      </w:r>
      <w:r w:rsidR="00D845A9">
        <w:t xml:space="preserve"> </w:t>
      </w:r>
      <w:r>
        <w:t>Sous-groupe 1 devenu, pour les fins du présent jugement</w:t>
      </w:r>
      <w:r w:rsidR="00D845A9">
        <w:t>,</w:t>
      </w:r>
      <w:r>
        <w:t xml:space="preserve"> le Groupe.</w:t>
      </w:r>
    </w:p>
    <w:p w14:paraId="169AA73A" w14:textId="77777777" w:rsidR="00E34FF2" w:rsidRDefault="00B2678F" w:rsidP="00E34FF2">
      <w:pPr>
        <w:pStyle w:val="Paragrsimple"/>
        <w:numPr>
          <w:ilvl w:val="0"/>
          <w:numId w:val="1"/>
        </w:numPr>
        <w:tabs>
          <w:tab w:val="clear" w:pos="360"/>
        </w:tabs>
      </w:pPr>
      <w:r>
        <w:t xml:space="preserve">Elle allègue que les fraudeurs procèdent selon le </w:t>
      </w:r>
      <w:r w:rsidRPr="000D4216">
        <w:rPr>
          <w:i/>
          <w:iCs/>
        </w:rPr>
        <w:t>modus operandi</w:t>
      </w:r>
      <w:r>
        <w:t xml:space="preserve"> suivant</w:t>
      </w:r>
      <w:r>
        <w:rPr>
          <w:rStyle w:val="Appelnotedebasdep"/>
        </w:rPr>
        <w:footnoteReference w:id="2"/>
      </w:r>
      <w:r>
        <w:t> :</w:t>
      </w:r>
    </w:p>
    <w:p w14:paraId="460E2640" w14:textId="77777777" w:rsidR="00E34FF2" w:rsidRDefault="00B2678F" w:rsidP="00E34FF2">
      <w:pPr>
        <w:pStyle w:val="Sous-paragraphe"/>
        <w:numPr>
          <w:ilvl w:val="1"/>
          <w:numId w:val="1"/>
        </w:numPr>
        <w:tabs>
          <w:tab w:val="clear" w:pos="1000"/>
          <w:tab w:val="num" w:pos="1701"/>
        </w:tabs>
        <w:ind w:left="1701" w:hanging="992"/>
      </w:pPr>
      <w:r w:rsidRPr="005400F6">
        <w:t>Étape 1</w:t>
      </w:r>
      <w:r>
        <w:t xml:space="preserve"> : Les fraudeurs créent un compte publicitaire sur Facebook </w:t>
      </w:r>
      <w:r w:rsidR="00386BB7">
        <w:t xml:space="preserve">en utilisant </w:t>
      </w:r>
      <w:r>
        <w:t xml:space="preserve">une fausse identité ou </w:t>
      </w:r>
      <w:r w:rsidR="00386BB7">
        <w:t>en détournant celui</w:t>
      </w:r>
      <w:r>
        <w:t xml:space="preserve"> d’une autre personne. </w:t>
      </w:r>
      <w:r w:rsidR="00386BB7">
        <w:t>Ils s’en servent ensuite pour</w:t>
      </w:r>
      <w:r>
        <w:t xml:space="preserve"> publie</w:t>
      </w:r>
      <w:r w:rsidR="00386BB7">
        <w:t>r</w:t>
      </w:r>
      <w:r>
        <w:t xml:space="preserve"> des publicités en utilisant les noms de célébrités (les « </w:t>
      </w:r>
      <w:r>
        <w:rPr>
          <w:b/>
          <w:bCs/>
        </w:rPr>
        <w:t>F</w:t>
      </w:r>
      <w:r w:rsidRPr="00D038DA">
        <w:rPr>
          <w:b/>
          <w:bCs/>
        </w:rPr>
        <w:t>ausses publicités</w:t>
      </w:r>
      <w:r>
        <w:t> »)</w:t>
      </w:r>
      <w:r w:rsidR="00E75789">
        <w:t>.</w:t>
      </w:r>
    </w:p>
    <w:p w14:paraId="27DE3859" w14:textId="77777777" w:rsidR="00E34FF2" w:rsidRDefault="00B2678F" w:rsidP="00E34FF2">
      <w:pPr>
        <w:pStyle w:val="Sous-paragraphe"/>
        <w:numPr>
          <w:ilvl w:val="1"/>
          <w:numId w:val="1"/>
        </w:numPr>
        <w:tabs>
          <w:tab w:val="clear" w:pos="1000"/>
          <w:tab w:val="num" w:pos="1701"/>
        </w:tabs>
        <w:ind w:left="1701" w:hanging="992"/>
      </w:pPr>
      <w:r>
        <w:t xml:space="preserve">Étape 2 : </w:t>
      </w:r>
      <w:r w:rsidR="00386BB7">
        <w:t>Lorsqu’</w:t>
      </w:r>
      <w:r>
        <w:t xml:space="preserve">une personne clique sur cette Fausse publicité, elle est redirigée vers un site internet externe – sans </w:t>
      </w:r>
      <w:r w:rsidR="00386BB7">
        <w:t xml:space="preserve">aucun </w:t>
      </w:r>
      <w:r>
        <w:t xml:space="preserve">lien avec les Défenderesses – qui présente un article fictif </w:t>
      </w:r>
      <w:r w:rsidR="00386BB7">
        <w:t>imitant</w:t>
      </w:r>
      <w:r>
        <w:t xml:space="preserve"> de</w:t>
      </w:r>
      <w:r w:rsidR="00386BB7">
        <w:t>s</w:t>
      </w:r>
      <w:r>
        <w:t xml:space="preserve"> médias réputés, </w:t>
      </w:r>
      <w:r w:rsidR="00386BB7">
        <w:t>comme</w:t>
      </w:r>
      <w:r>
        <w:t xml:space="preserve"> </w:t>
      </w:r>
      <w:r w:rsidRPr="000D4216">
        <w:rPr>
          <w:i/>
          <w:iCs/>
        </w:rPr>
        <w:t>La Presse</w:t>
      </w:r>
      <w:r>
        <w:t xml:space="preserve"> ou le </w:t>
      </w:r>
      <w:r w:rsidRPr="000D4216">
        <w:rPr>
          <w:i/>
          <w:iCs/>
        </w:rPr>
        <w:t>Times Business News</w:t>
      </w:r>
      <w:r>
        <w:t xml:space="preserve"> (les « </w:t>
      </w:r>
      <w:r w:rsidRPr="002A0514">
        <w:rPr>
          <w:b/>
          <w:bCs/>
        </w:rPr>
        <w:t>Faux articles</w:t>
      </w:r>
      <w:r>
        <w:t xml:space="preserve"> »). Le Faux article </w:t>
      </w:r>
      <w:r w:rsidR="00386BB7">
        <w:t>prétend</w:t>
      </w:r>
      <w:r>
        <w:t xml:space="preserve"> que la célébrité s’est enrichie grâce à des investissements sur le marché des cryptomonnaies</w:t>
      </w:r>
      <w:r w:rsidR="00386BB7">
        <w:t xml:space="preserve"> et contient</w:t>
      </w:r>
      <w:r>
        <w:t xml:space="preserve"> </w:t>
      </w:r>
      <w:r w:rsidR="00386BB7">
        <w:t>u</w:t>
      </w:r>
      <w:r>
        <w:t xml:space="preserve">n lien </w:t>
      </w:r>
      <w:r>
        <w:lastRenderedPageBreak/>
        <w:t>hypertexte</w:t>
      </w:r>
      <w:r w:rsidR="00E75789">
        <w:t>.</w:t>
      </w:r>
    </w:p>
    <w:p w14:paraId="132472AB" w14:textId="77777777" w:rsidR="00E34FF2" w:rsidRDefault="00B2678F" w:rsidP="00E34FF2">
      <w:pPr>
        <w:pStyle w:val="Sous-paragraphe"/>
        <w:numPr>
          <w:ilvl w:val="1"/>
          <w:numId w:val="1"/>
        </w:numPr>
        <w:tabs>
          <w:tab w:val="clear" w:pos="1000"/>
          <w:tab w:val="num" w:pos="1701"/>
        </w:tabs>
        <w:ind w:left="1701" w:hanging="992"/>
      </w:pPr>
      <w:r>
        <w:t xml:space="preserve">Étape 3 : </w:t>
      </w:r>
      <w:r w:rsidR="00386BB7">
        <w:t>En cliquant sur ce</w:t>
      </w:r>
      <w:r>
        <w:t xml:space="preserve"> nouveau lien hypertexte, </w:t>
      </w:r>
      <w:r w:rsidR="00386BB7">
        <w:t xml:space="preserve">la personne </w:t>
      </w:r>
      <w:r>
        <w:t xml:space="preserve">est redirigée vers un autre site internet – toujours sans lien avec les Défenderesses – qui ressemble à une plateforme d’échange de cryptomonnaies. </w:t>
      </w:r>
      <w:r w:rsidR="00386BB7">
        <w:t>Elle y</w:t>
      </w:r>
      <w:r>
        <w:t xml:space="preserve"> remplit alors des formulaires et </w:t>
      </w:r>
      <w:r w:rsidR="00386BB7">
        <w:t>transmet</w:t>
      </w:r>
      <w:r>
        <w:t xml:space="preserve"> des informations personnelles</w:t>
      </w:r>
      <w:r w:rsidR="00E75789">
        <w:t>.</w:t>
      </w:r>
    </w:p>
    <w:p w14:paraId="784FD6C5" w14:textId="77777777" w:rsidR="00E34FF2" w:rsidRDefault="00B2678F" w:rsidP="00E34FF2">
      <w:pPr>
        <w:pStyle w:val="Sous-paragraphe"/>
        <w:numPr>
          <w:ilvl w:val="1"/>
          <w:numId w:val="1"/>
        </w:numPr>
        <w:tabs>
          <w:tab w:val="clear" w:pos="1000"/>
          <w:tab w:val="num" w:pos="1701"/>
        </w:tabs>
        <w:ind w:left="1701" w:hanging="992"/>
      </w:pPr>
      <w:r>
        <w:t xml:space="preserve">Étape 4 : Les fraudeurs communiquent avec ces personnes et établissent une relation de confiance afin de les </w:t>
      </w:r>
      <w:r w:rsidR="00386BB7">
        <w:t xml:space="preserve">inciter à </w:t>
      </w:r>
      <w:r>
        <w:t>investir de l’argent sur l</w:t>
      </w:r>
      <w:r w:rsidR="00386BB7">
        <w:t>eur</w:t>
      </w:r>
      <w:r>
        <w:t xml:space="preserve"> plateforme de cryptomonnaies.</w:t>
      </w:r>
    </w:p>
    <w:p w14:paraId="29EF3CCD" w14:textId="77777777" w:rsidR="00E34FF2" w:rsidRDefault="00B2678F" w:rsidP="00E34FF2">
      <w:pPr>
        <w:pStyle w:val="Paragrsimple"/>
        <w:numPr>
          <w:ilvl w:val="0"/>
          <w:numId w:val="1"/>
        </w:numPr>
        <w:tabs>
          <w:tab w:val="clear" w:pos="360"/>
        </w:tabs>
      </w:pPr>
      <w:r>
        <w:t xml:space="preserve">La Demanderesse réclame, au nom des célébrités dont la réputation et l’image ont </w:t>
      </w:r>
      <w:r w:rsidR="00386BB7">
        <w:t>servi d’appât</w:t>
      </w:r>
      <w:r>
        <w:t> :</w:t>
      </w:r>
    </w:p>
    <w:p w14:paraId="59FC5A6A" w14:textId="77777777" w:rsidR="00E34FF2" w:rsidRDefault="00B2678F" w:rsidP="00E34FF2">
      <w:pPr>
        <w:pStyle w:val="Sous-paragraphe"/>
        <w:numPr>
          <w:ilvl w:val="1"/>
          <w:numId w:val="1"/>
        </w:numPr>
        <w:tabs>
          <w:tab w:val="clear" w:pos="1000"/>
          <w:tab w:val="num" w:pos="1701"/>
        </w:tabs>
        <w:ind w:left="1701" w:hanging="992"/>
      </w:pPr>
      <w:r>
        <w:t>des dommages-intérêts pour atteinte à la réputation;</w:t>
      </w:r>
    </w:p>
    <w:p w14:paraId="41257B76" w14:textId="77777777" w:rsidR="00E34FF2" w:rsidRDefault="00B2678F" w:rsidP="00E34FF2">
      <w:pPr>
        <w:pStyle w:val="Sous-paragraphe"/>
        <w:numPr>
          <w:ilvl w:val="1"/>
          <w:numId w:val="1"/>
        </w:numPr>
        <w:tabs>
          <w:tab w:val="clear" w:pos="1000"/>
          <w:tab w:val="num" w:pos="1701"/>
        </w:tabs>
        <w:ind w:left="1701" w:hanging="992"/>
      </w:pPr>
      <w:r>
        <w:t>des dommages-intérêts pécuniaires; et</w:t>
      </w:r>
    </w:p>
    <w:p w14:paraId="55FE275F" w14:textId="77777777" w:rsidR="00E34FF2" w:rsidRPr="00B01C8C" w:rsidRDefault="00B2678F" w:rsidP="00E34FF2">
      <w:pPr>
        <w:pStyle w:val="Sous-paragraphe"/>
        <w:numPr>
          <w:ilvl w:val="1"/>
          <w:numId w:val="1"/>
        </w:numPr>
        <w:tabs>
          <w:tab w:val="clear" w:pos="1000"/>
          <w:tab w:val="num" w:pos="1701"/>
        </w:tabs>
        <w:ind w:left="1701" w:hanging="992"/>
      </w:pPr>
      <w:r>
        <w:t>des dommages-intérêts punitifs</w:t>
      </w:r>
      <w:r>
        <w:rPr>
          <w:rStyle w:val="Appelnotedebasdep"/>
        </w:rPr>
        <w:footnoteReference w:id="3"/>
      </w:r>
      <w:r>
        <w:t>.</w:t>
      </w:r>
    </w:p>
    <w:p w14:paraId="1239489F" w14:textId="77777777" w:rsidR="00E34FF2" w:rsidRPr="00772542" w:rsidRDefault="00B2678F" w:rsidP="00E34FF2">
      <w:pPr>
        <w:pStyle w:val="Titre1"/>
      </w:pPr>
      <w:bookmarkStart w:id="3" w:name="_Toc45807136"/>
      <w:bookmarkStart w:id="4" w:name="_Toc56788860"/>
      <w:r w:rsidRPr="00772542">
        <w:t>ANALYSE</w:t>
      </w:r>
      <w:bookmarkEnd w:id="3"/>
      <w:r>
        <w:t xml:space="preserve"> </w:t>
      </w:r>
      <w:bookmarkEnd w:id="4"/>
    </w:p>
    <w:p w14:paraId="3AA3BED3" w14:textId="77777777" w:rsidR="00E34FF2" w:rsidRDefault="00B2678F" w:rsidP="00E34FF2">
      <w:pPr>
        <w:pStyle w:val="Paragrsimple"/>
        <w:numPr>
          <w:ilvl w:val="0"/>
          <w:numId w:val="1"/>
        </w:numPr>
        <w:tabs>
          <w:tab w:val="clear" w:pos="360"/>
        </w:tabs>
      </w:pPr>
      <w:r>
        <w:t>Le Tribunal doit d’abord déterminer s’il a juridiction pour entendre la Demande d’autorisation.</w:t>
      </w:r>
    </w:p>
    <w:p w14:paraId="36DC6DEF" w14:textId="77777777" w:rsidR="00E34FF2" w:rsidRDefault="00B2678F" w:rsidP="00E34FF2">
      <w:pPr>
        <w:pStyle w:val="Paragrsimple"/>
        <w:numPr>
          <w:ilvl w:val="0"/>
          <w:numId w:val="1"/>
        </w:numPr>
        <w:tabs>
          <w:tab w:val="clear" w:pos="360"/>
        </w:tabs>
      </w:pPr>
      <w:r>
        <w:t>Si tel est le cas, il doit déterminer si la Demanderesse satisfait aux conditions requises pour l’exercice d’une action collective.</w:t>
      </w:r>
    </w:p>
    <w:p w14:paraId="41723607" w14:textId="77777777" w:rsidR="00E34FF2" w:rsidRDefault="00B2678F" w:rsidP="00E34FF2">
      <w:pPr>
        <w:pStyle w:val="Paragrsimple"/>
        <w:numPr>
          <w:ilvl w:val="0"/>
          <w:numId w:val="1"/>
        </w:numPr>
        <w:tabs>
          <w:tab w:val="clear" w:pos="360"/>
        </w:tabs>
      </w:pPr>
      <w:r>
        <w:t xml:space="preserve">Si la réponse est positive, le Tribunal doit alors décrire le </w:t>
      </w:r>
      <w:r w:rsidR="00991630">
        <w:t xml:space="preserve">Groupe </w:t>
      </w:r>
      <w:r>
        <w:t xml:space="preserve">dont les </w:t>
      </w:r>
      <w:r w:rsidR="00991630">
        <w:t xml:space="preserve">Membres </w:t>
      </w:r>
      <w:r>
        <w:t xml:space="preserve">seront liés par le jugement sur l’action collective, nommer un représentant du </w:t>
      </w:r>
      <w:r w:rsidR="00991630">
        <w:t>Groupe</w:t>
      </w:r>
      <w:r>
        <w:t>, identifier les principales questions à traiter collectivement et déterminer les conclusions recherchées relativement à ces questions.</w:t>
      </w:r>
    </w:p>
    <w:p w14:paraId="558F79F7" w14:textId="77777777" w:rsidR="00E34FF2" w:rsidRPr="007B7511" w:rsidRDefault="00B2678F" w:rsidP="005E2A8B">
      <w:pPr>
        <w:pStyle w:val="Titre2"/>
        <w:jc w:val="both"/>
      </w:pPr>
      <w:r w:rsidRPr="007B7511">
        <w:rPr>
          <w:caps w:val="0"/>
        </w:rPr>
        <w:t xml:space="preserve">La </w:t>
      </w:r>
      <w:r>
        <w:rPr>
          <w:caps w:val="0"/>
        </w:rPr>
        <w:t>C</w:t>
      </w:r>
      <w:r w:rsidRPr="007B7511">
        <w:rPr>
          <w:caps w:val="0"/>
        </w:rPr>
        <w:t xml:space="preserve">our supérieure du </w:t>
      </w:r>
      <w:r>
        <w:rPr>
          <w:caps w:val="0"/>
        </w:rPr>
        <w:t>Q</w:t>
      </w:r>
      <w:r w:rsidRPr="007B7511">
        <w:rPr>
          <w:caps w:val="0"/>
        </w:rPr>
        <w:t>uébec est-elle compétente pour entendre la demande d’autorisation?</w:t>
      </w:r>
    </w:p>
    <w:p w14:paraId="7C46E73F" w14:textId="77777777" w:rsidR="00E34FF2" w:rsidRPr="00CF674D" w:rsidRDefault="00B2678F" w:rsidP="00E34FF2">
      <w:pPr>
        <w:pStyle w:val="Paragrsimple"/>
        <w:numPr>
          <w:ilvl w:val="0"/>
          <w:numId w:val="1"/>
        </w:numPr>
        <w:tabs>
          <w:tab w:val="clear" w:pos="360"/>
        </w:tabs>
      </w:pPr>
      <w:r w:rsidRPr="00CF674D">
        <w:t xml:space="preserve">L’article 3148(3) du </w:t>
      </w:r>
      <w:r w:rsidRPr="00CF674D">
        <w:rPr>
          <w:i/>
          <w:iCs/>
        </w:rPr>
        <w:t>Code civil du Québec</w:t>
      </w:r>
      <w:r w:rsidRPr="00CF674D">
        <w:t xml:space="preserve"> (« </w:t>
      </w:r>
      <w:r w:rsidRPr="00CF674D">
        <w:rPr>
          <w:b/>
          <w:bCs/>
        </w:rPr>
        <w:t>C.c.Q.</w:t>
      </w:r>
      <w:r w:rsidRPr="00CF674D">
        <w:t> ») prévoit que les tribunaux québécois sont compétents lorsqu’un préjudice a été subi au Québec. Ce facteur est indépendant des autres facteurs prévus au paragraphe 3148(3) C.c.Q. « </w:t>
      </w:r>
      <w:r w:rsidRPr="00CF674D">
        <w:rPr>
          <w:rFonts w:cs="Arial"/>
        </w:rPr>
        <w:t>[I]</w:t>
      </w:r>
      <w:r w:rsidRPr="00CF674D">
        <w:t>l n’est pas nécessaire que le préjudice soit lié à l’endroit où le fait dommageable a été subi ou la faute commise</w:t>
      </w:r>
      <w:r w:rsidR="007A1B40" w:rsidRPr="00CF674D">
        <w:t>.</w:t>
      </w:r>
      <w:r w:rsidRPr="00CF674D">
        <w:t> »</w:t>
      </w:r>
      <w:bookmarkStart w:id="5" w:name="_Ref228864513"/>
      <w:r>
        <w:rPr>
          <w:rStyle w:val="Appelnotedebasdep"/>
        </w:rPr>
        <w:footnoteReference w:id="4"/>
      </w:r>
      <w:bookmarkEnd w:id="5"/>
    </w:p>
    <w:p w14:paraId="47225904" w14:textId="77777777" w:rsidR="00E34FF2" w:rsidRDefault="00B2678F" w:rsidP="00E34FF2">
      <w:pPr>
        <w:pStyle w:val="Paragrsimple"/>
        <w:numPr>
          <w:ilvl w:val="0"/>
          <w:numId w:val="1"/>
        </w:numPr>
        <w:tabs>
          <w:tab w:val="clear" w:pos="360"/>
        </w:tabs>
      </w:pPr>
      <w:r>
        <w:lastRenderedPageBreak/>
        <w:t>Les Défenderesses soulèvent l’exception prévue au deuxième alinéa du même article</w:t>
      </w:r>
      <w:r w:rsidR="002819FB">
        <w:t>,</w:t>
      </w:r>
      <w:r>
        <w:t xml:space="preserve"> qui prévoit que « </w:t>
      </w:r>
      <w:r w:rsidRPr="005D31B9">
        <w:t>les autorités québécoises ne sont pas compétentes lorsque les parties ont choisi, par convention, de soumettre les litiges nés ou à naître entre elles, à propos d’un rapport juridique déterminé, à une autorité étrangère ou à un arbitre</w:t>
      </w:r>
      <w:r>
        <w:t> ».</w:t>
      </w:r>
    </w:p>
    <w:p w14:paraId="0BBDD57C" w14:textId="77777777" w:rsidR="00E34FF2" w:rsidRPr="00BA2CB3" w:rsidRDefault="00B2678F" w:rsidP="00E34FF2">
      <w:pPr>
        <w:pStyle w:val="Paragrsimple"/>
        <w:numPr>
          <w:ilvl w:val="0"/>
          <w:numId w:val="1"/>
        </w:numPr>
        <w:tabs>
          <w:tab w:val="clear" w:pos="360"/>
        </w:tabs>
      </w:pPr>
      <w:r>
        <w:t>« L</w:t>
      </w:r>
      <w:r w:rsidRPr="00BA2CB3">
        <w:t>a possibilité pour les parties de déroger conventionnellement à la compétence des autorités québécoises témoigne de la volonté du législateur de reconnaître cette autonomie en matière de conflits de juridiction</w:t>
      </w:r>
      <w:r w:rsidR="007A1B40">
        <w:t>.</w:t>
      </w:r>
      <w:r>
        <w:t> »</w:t>
      </w:r>
      <w:r>
        <w:rPr>
          <w:rStyle w:val="Appelnotedebasdep"/>
        </w:rPr>
        <w:footnoteReference w:id="5"/>
      </w:r>
      <w:r w:rsidRPr="001B7046">
        <w:t xml:space="preserve"> </w:t>
      </w:r>
      <w:r>
        <w:t xml:space="preserve">Par ailleurs, l’analyse </w:t>
      </w:r>
      <w:r w:rsidRPr="001B7046">
        <w:t>de</w:t>
      </w:r>
      <w:r>
        <w:t xml:space="preserve"> la </w:t>
      </w:r>
      <w:r w:rsidRPr="001B7046">
        <w:t xml:space="preserve">clause </w:t>
      </w:r>
      <w:r>
        <w:t>est essentielle</w:t>
      </w:r>
      <w:r w:rsidR="002819FB">
        <w:t>,</w:t>
      </w:r>
      <w:r>
        <w:t xml:space="preserve"> puisque « </w:t>
      </w:r>
      <w:r>
        <w:rPr>
          <w:rFonts w:cs="Arial"/>
        </w:rPr>
        <w:t>[l]</w:t>
      </w:r>
      <w:r w:rsidRPr="001B7046">
        <w:t>a dérogation à la compétence des autorités québécoises dans un cas précis sera décidée en fonction de la rédaction de la clause de juridiction adoptée par les parties</w:t>
      </w:r>
      <w:r>
        <w:t> »</w:t>
      </w:r>
      <w:r>
        <w:rPr>
          <w:rStyle w:val="Appelnotedebasdep"/>
        </w:rPr>
        <w:footnoteReference w:id="6"/>
      </w:r>
      <w:r>
        <w:t>.</w:t>
      </w:r>
    </w:p>
    <w:p w14:paraId="0CB3A029" w14:textId="77777777" w:rsidR="00E34FF2" w:rsidRDefault="00B2678F" w:rsidP="00E34FF2">
      <w:pPr>
        <w:pStyle w:val="Paragrsimple"/>
        <w:numPr>
          <w:ilvl w:val="0"/>
          <w:numId w:val="1"/>
        </w:numPr>
        <w:tabs>
          <w:tab w:val="clear" w:pos="360"/>
        </w:tabs>
      </w:pPr>
      <w:r>
        <w:t xml:space="preserve">Les Défenderesses invoquent la clause 5d) des </w:t>
      </w:r>
      <w:r w:rsidRPr="009D05F2">
        <w:rPr>
          <w:i/>
          <w:iCs/>
        </w:rPr>
        <w:t>Meta’s Commercial Terms</w:t>
      </w:r>
      <w:r>
        <w:rPr>
          <w:rStyle w:val="Appelnotedebasdep"/>
        </w:rPr>
        <w:footnoteReference w:id="7"/>
      </w:r>
      <w:r>
        <w:t xml:space="preserve"> qui, selon les Défenderesses, aurait été accepté par la Demanderesse dans le cadre de l’ouverture d’un site commercial sur Facebook. La clause spécifie ce qui suit :</w:t>
      </w:r>
    </w:p>
    <w:p w14:paraId="6213FB84" w14:textId="77777777" w:rsidR="00E34FF2" w:rsidRPr="009D05F2" w:rsidRDefault="00B2678F" w:rsidP="00E34FF2">
      <w:pPr>
        <w:pStyle w:val="Citationenretrait"/>
        <w:rPr>
          <w:lang w:val="en-CA"/>
        </w:rPr>
      </w:pPr>
      <w:r>
        <w:rPr>
          <w:lang w:val="en-CA"/>
        </w:rPr>
        <w:t>5</w:t>
      </w:r>
      <w:r w:rsidRPr="009D05F2">
        <w:rPr>
          <w:lang w:val="en-CA"/>
        </w:rPr>
        <w:t>d. Commercial Claims outside the United States: If you reside outside the United States or your business is located outside the United States, you agree that:</w:t>
      </w:r>
    </w:p>
    <w:p w14:paraId="33A4E0C1" w14:textId="77777777" w:rsidR="00E34FF2" w:rsidRDefault="00B2678F" w:rsidP="00E34FF2">
      <w:pPr>
        <w:pStyle w:val="Citationenretrait"/>
        <w:numPr>
          <w:ilvl w:val="0"/>
          <w:numId w:val="36"/>
        </w:numPr>
        <w:rPr>
          <w:rFonts w:cs="Arial"/>
          <w:lang w:val="en-CA"/>
        </w:rPr>
      </w:pPr>
      <w:r w:rsidRPr="009D05F2">
        <w:rPr>
          <w:lang w:val="en-CA"/>
        </w:rPr>
        <w:t>Any Commercial Claim between you and Meta Platforms, Inc. must be resolved exclusively in the U.S. District Court for the Northern District of California or a state court located in San Mateo County</w:t>
      </w:r>
      <w:r>
        <w:rPr>
          <w:lang w:val="en-CA"/>
        </w:rPr>
        <w:t xml:space="preserve"> </w:t>
      </w:r>
      <w:r>
        <w:rPr>
          <w:rFonts w:cs="Arial"/>
          <w:lang w:val="en-CA"/>
        </w:rPr>
        <w:t>[…]</w:t>
      </w:r>
    </w:p>
    <w:p w14:paraId="574F11DF" w14:textId="77777777" w:rsidR="00E34FF2" w:rsidRDefault="00B2678F" w:rsidP="00E34FF2">
      <w:pPr>
        <w:pStyle w:val="Paragrsimple"/>
        <w:numPr>
          <w:ilvl w:val="0"/>
          <w:numId w:val="1"/>
        </w:numPr>
        <w:tabs>
          <w:tab w:val="clear" w:pos="360"/>
        </w:tabs>
      </w:pPr>
      <w:r w:rsidRPr="009D05F2">
        <w:t>L</w:t>
      </w:r>
      <w:r>
        <w:t>’expression « </w:t>
      </w:r>
      <w:r w:rsidRPr="005E2A8B">
        <w:rPr>
          <w:i/>
          <w:iCs/>
        </w:rPr>
        <w:t>Commercial Claims</w:t>
      </w:r>
      <w:r>
        <w:t> » est définie comme suit :</w:t>
      </w:r>
    </w:p>
    <w:p w14:paraId="0F6D75FA" w14:textId="77777777" w:rsidR="00E34FF2" w:rsidRPr="009D05F2" w:rsidRDefault="00B2678F" w:rsidP="00E34FF2">
      <w:pPr>
        <w:pStyle w:val="Citationenretrait"/>
        <w:rPr>
          <w:lang w:val="en-CA"/>
        </w:rPr>
      </w:pPr>
      <w:r w:rsidRPr="009D05F2">
        <w:rPr>
          <w:lang w:val="en-CA"/>
        </w:rPr>
        <w:t>Commercial Claims: Sections 5.c and 5.d below apply to any claim, cause of action, or dispute that arises out of or relates to any access or use of the Meta Products for business or commercial purposes (“Commercial Claim”) between you and Meta.</w:t>
      </w:r>
    </w:p>
    <w:p w14:paraId="7553A2C0" w14:textId="77777777" w:rsidR="00E34FF2" w:rsidRDefault="00B2678F" w:rsidP="00E34FF2">
      <w:pPr>
        <w:pStyle w:val="Paragrsimple"/>
        <w:numPr>
          <w:ilvl w:val="0"/>
          <w:numId w:val="1"/>
        </w:numPr>
        <w:tabs>
          <w:tab w:val="clear" w:pos="360"/>
        </w:tabs>
      </w:pPr>
      <w:r>
        <w:t>Lors de l’audience, les Défenderesses ont produit une nouvelle déclaration assermentée de monsieur Michael Duffey qui contient une version modifiée des Conditions générales de Meta (en français et en anglais) qui étaient en vigueur en septembre 2023 pour les utilisateurs du Québec</w:t>
      </w:r>
      <w:r>
        <w:rPr>
          <w:rStyle w:val="Appelnotedebasdep"/>
        </w:rPr>
        <w:footnoteReference w:id="8"/>
      </w:r>
      <w:r>
        <w:t>. Ces Conditions générales prévoient dans la section 4.4 ce qui suit :</w:t>
      </w:r>
    </w:p>
    <w:p w14:paraId="2497A307" w14:textId="77777777" w:rsidR="00E34FF2" w:rsidRDefault="00B2678F" w:rsidP="00E34FF2">
      <w:pPr>
        <w:pStyle w:val="Citationenretrait"/>
      </w:pPr>
      <w:r>
        <w:t>Si vous êtes un(e) consommateur(-trice), les lois du pays dans lequel vous résidez s’appliqueront à toute réclamation, toute cause d’action ou tout litige que vous entamez contre nous et qui découle des présentes Conditions ou des produits Meta ou qui s’y rapporte, et vous pouvez faire trancher votre réclamation par tout tribunal compétent dans ce pays.</w:t>
      </w:r>
    </w:p>
    <w:p w14:paraId="68560002" w14:textId="77777777" w:rsidR="00E34FF2" w:rsidRPr="00D95858" w:rsidRDefault="00B2678F" w:rsidP="00E34FF2">
      <w:pPr>
        <w:pStyle w:val="Citationenretrait"/>
      </w:pPr>
      <w:r>
        <w:t xml:space="preserve">Dans tous les autres cas, et pour toute réclamation, toute cause d’action ou tout litige que Meta dépose contre vous, vous et Meta convenez que la réclamation soit </w:t>
      </w:r>
      <w:r>
        <w:lastRenderedPageBreak/>
        <w:t>résolue exclusivement devant la U.S. District Court pour le district nord de la Californie ou un tribunal d’État situé dans le comté de San Mateo.</w:t>
      </w:r>
    </w:p>
    <w:p w14:paraId="464B3CF8" w14:textId="77777777" w:rsidR="00E34FF2" w:rsidRDefault="00B2678F" w:rsidP="005E2A8B">
      <w:pPr>
        <w:pStyle w:val="Paragrsimple"/>
        <w:keepLines/>
        <w:numPr>
          <w:ilvl w:val="0"/>
          <w:numId w:val="1"/>
        </w:numPr>
        <w:tabs>
          <w:tab w:val="clear" w:pos="360"/>
        </w:tabs>
      </w:pPr>
      <w:r>
        <w:t xml:space="preserve">Comme la clause 5d) dans les </w:t>
      </w:r>
      <w:r w:rsidRPr="00BA2CB3">
        <w:rPr>
          <w:i/>
          <w:iCs/>
        </w:rPr>
        <w:t>Meta’s Commercial Terms</w:t>
      </w:r>
      <w:r>
        <w:t xml:space="preserve">, l’intention des parties veut que la clause s’applique « à </w:t>
      </w:r>
      <w:r w:rsidRPr="001E54DD">
        <w:t>toute réclamation, toute cause d’action ou tout litige que vous entamez contre nous et qui découle des présentes Conditions ou des produits Meta ou qui s’y rapporte</w:t>
      </w:r>
      <w:r>
        <w:t> ».</w:t>
      </w:r>
    </w:p>
    <w:p w14:paraId="4F6ED3AE" w14:textId="77777777" w:rsidR="00E34FF2" w:rsidRDefault="00B2678F" w:rsidP="00AA7499">
      <w:pPr>
        <w:pStyle w:val="Paragrsimple"/>
        <w:keepNext/>
        <w:keepLines/>
        <w:numPr>
          <w:ilvl w:val="0"/>
          <w:numId w:val="1"/>
        </w:numPr>
        <w:tabs>
          <w:tab w:val="clear" w:pos="360"/>
        </w:tabs>
      </w:pPr>
      <w:r>
        <w:t>Cette interprétation est renforcée par la clause suivante (clause 5.1) qui mentionne :</w:t>
      </w:r>
    </w:p>
    <w:p w14:paraId="69BB8F07" w14:textId="77777777" w:rsidR="00E34FF2" w:rsidRDefault="00B2678F" w:rsidP="00AA7499">
      <w:pPr>
        <w:pStyle w:val="Citationenretrait"/>
        <w:keepNext/>
        <w:keepLines/>
      </w:pPr>
      <w:r>
        <w:t>5. Autre</w:t>
      </w:r>
    </w:p>
    <w:p w14:paraId="5B6AF10F" w14:textId="77777777" w:rsidR="00E34FF2" w:rsidRPr="001E54DD" w:rsidRDefault="00B2678F" w:rsidP="00AA7499">
      <w:pPr>
        <w:pStyle w:val="Citationenretrait"/>
        <w:keepNext/>
        <w:keepLines/>
      </w:pPr>
      <w:r>
        <w:t>1. Les présentes Conditions (auparavant intitulées « Déclaration des droits et responsabilités ») représentent l’intégralité de l’accord entre vous et Meta Platforms, Inc. en ce qui concerne votre utilisation de nos produits. Elles éclipsent tout accord antérieur.</w:t>
      </w:r>
    </w:p>
    <w:p w14:paraId="30AEAD68" w14:textId="77777777" w:rsidR="00E34FF2" w:rsidRDefault="00B2678F" w:rsidP="00E34FF2">
      <w:pPr>
        <w:pStyle w:val="Paragrsimple"/>
        <w:numPr>
          <w:ilvl w:val="0"/>
          <w:numId w:val="1"/>
        </w:numPr>
        <w:tabs>
          <w:tab w:val="clear" w:pos="360"/>
        </w:tabs>
      </w:pPr>
      <w:r w:rsidRPr="009D05F2">
        <w:t>Or, l’action de la D</w:t>
      </w:r>
      <w:r>
        <w:t>emanderesse ne vise pas son utilisation des produits de Meta ou ses accès à la plateforme Facebook.</w:t>
      </w:r>
    </w:p>
    <w:p w14:paraId="383F4A45" w14:textId="77777777" w:rsidR="00E34FF2" w:rsidRDefault="00B2678F" w:rsidP="00E34FF2">
      <w:pPr>
        <w:pStyle w:val="Paragrsimple"/>
        <w:numPr>
          <w:ilvl w:val="0"/>
          <w:numId w:val="1"/>
        </w:numPr>
        <w:tabs>
          <w:tab w:val="clear" w:pos="360"/>
        </w:tabs>
      </w:pPr>
      <w:r>
        <w:t xml:space="preserve">En </w:t>
      </w:r>
      <w:r w:rsidR="00F11BBE">
        <w:t>réalité</w:t>
      </w:r>
      <w:r>
        <w:t>, l’action collective projetée est totalement étrangère à la relation contractuelle entre Meta et la Demanderesse. Les allégations de la Demande d’autorisation seraient exactement les mêmes si madame Barrette n’avait pas de compte Facebook.</w:t>
      </w:r>
    </w:p>
    <w:p w14:paraId="6F110A96" w14:textId="77777777" w:rsidR="00E34FF2" w:rsidRPr="00CF674D" w:rsidRDefault="00B2678F" w:rsidP="00E34FF2">
      <w:pPr>
        <w:pStyle w:val="Paragrsimple"/>
        <w:numPr>
          <w:ilvl w:val="0"/>
          <w:numId w:val="1"/>
        </w:numPr>
        <w:tabs>
          <w:tab w:val="clear" w:pos="360"/>
        </w:tabs>
      </w:pPr>
      <w:r w:rsidRPr="00CF674D">
        <w:t>Puisque la clause ne vise que les différends contractuels</w:t>
      </w:r>
      <w:r w:rsidR="00F11BBE">
        <w:t>, alors</w:t>
      </w:r>
      <w:r w:rsidRPr="00CF674D">
        <w:t xml:space="preserve"> que la Demande d’autorisation vise des fautes extracontractuelles</w:t>
      </w:r>
      <w:r>
        <w:t xml:space="preserve"> qui n’ont pas de lien avec la relation contractuelle entre la Demanderesse et Meta</w:t>
      </w:r>
      <w:r w:rsidRPr="00CF674D">
        <w:t>, la clause d’élection de for n’a aucune application ici.</w:t>
      </w:r>
    </w:p>
    <w:p w14:paraId="7BD00E4E" w14:textId="77777777" w:rsidR="00E34FF2" w:rsidRPr="00CF674D" w:rsidRDefault="00B2678F" w:rsidP="00E34FF2">
      <w:pPr>
        <w:pStyle w:val="Paragrsimple"/>
        <w:numPr>
          <w:ilvl w:val="0"/>
          <w:numId w:val="1"/>
        </w:numPr>
        <w:tabs>
          <w:tab w:val="clear" w:pos="360"/>
        </w:tabs>
      </w:pPr>
      <w:r>
        <w:t>La Cour supérieure est donc compétente pour entendre le litige.</w:t>
      </w:r>
    </w:p>
    <w:p w14:paraId="77C1C33D" w14:textId="77777777" w:rsidR="00E34FF2" w:rsidRPr="00CB76BF" w:rsidRDefault="00B2678F" w:rsidP="00E34FF2">
      <w:pPr>
        <w:pStyle w:val="Titre2"/>
        <w:rPr>
          <w:caps w:val="0"/>
        </w:rPr>
      </w:pPr>
      <w:bookmarkStart w:id="6" w:name="_Toc45807137"/>
      <w:bookmarkStart w:id="7" w:name="_Toc56788861"/>
      <w:r w:rsidRPr="00CB76BF">
        <w:t>L</w:t>
      </w:r>
      <w:r w:rsidR="004229E3">
        <w:rPr>
          <w:caps w:val="0"/>
        </w:rPr>
        <w:t>a</w:t>
      </w:r>
      <w:r w:rsidRPr="00CB76BF">
        <w:t xml:space="preserve"> </w:t>
      </w:r>
      <w:r w:rsidR="004229E3">
        <w:t>D</w:t>
      </w:r>
      <w:r w:rsidR="004229E3">
        <w:rPr>
          <w:caps w:val="0"/>
        </w:rPr>
        <w:t>emanderesse</w:t>
      </w:r>
      <w:r w:rsidR="004229E3" w:rsidRPr="00CB76BF">
        <w:rPr>
          <w:caps w:val="0"/>
        </w:rPr>
        <w:t xml:space="preserve"> satisfait-</w:t>
      </w:r>
      <w:r w:rsidR="004229E3">
        <w:rPr>
          <w:caps w:val="0"/>
        </w:rPr>
        <w:t xml:space="preserve">elle </w:t>
      </w:r>
      <w:r w:rsidR="004229E3" w:rsidRPr="00CB76BF">
        <w:rPr>
          <w:caps w:val="0"/>
        </w:rPr>
        <w:t>aux conditions requises pour l’autorisation d’une action collective?</w:t>
      </w:r>
      <w:bookmarkEnd w:id="6"/>
      <w:bookmarkEnd w:id="7"/>
    </w:p>
    <w:p w14:paraId="5F6BF391" w14:textId="77777777" w:rsidR="00E34FF2" w:rsidRPr="00CB76BF" w:rsidRDefault="00B2678F" w:rsidP="00E34FF2">
      <w:pPr>
        <w:pStyle w:val="Titre3"/>
      </w:pPr>
      <w:bookmarkStart w:id="8" w:name="_Toc45807138"/>
      <w:bookmarkStart w:id="9" w:name="_Toc56788862"/>
      <w:r w:rsidRPr="00CB76BF">
        <w:t>Conclusion</w:t>
      </w:r>
      <w:bookmarkEnd w:id="8"/>
      <w:bookmarkEnd w:id="9"/>
    </w:p>
    <w:p w14:paraId="4B6BFDFB" w14:textId="77777777" w:rsidR="00E34FF2" w:rsidRPr="00CB76BF" w:rsidRDefault="00B2678F" w:rsidP="00E34FF2">
      <w:pPr>
        <w:numPr>
          <w:ilvl w:val="0"/>
          <w:numId w:val="1"/>
        </w:numPr>
        <w:tabs>
          <w:tab w:val="clear" w:pos="360"/>
        </w:tabs>
        <w:spacing w:before="120" w:after="120"/>
        <w:jc w:val="both"/>
        <w:rPr>
          <w:kern w:val="28"/>
        </w:rPr>
      </w:pPr>
      <w:r>
        <w:rPr>
          <w:kern w:val="28"/>
        </w:rPr>
        <w:t xml:space="preserve">Compte tenu du faible seuil </w:t>
      </w:r>
      <w:r w:rsidRPr="00CB76BF">
        <w:rPr>
          <w:kern w:val="28"/>
        </w:rPr>
        <w:t>applicable à cette étape, les critères d’autorisation sont satisfaits et l’action collective est autorisée.</w:t>
      </w:r>
    </w:p>
    <w:p w14:paraId="08FB6D24" w14:textId="77777777" w:rsidR="00E34FF2" w:rsidRPr="00CB76BF" w:rsidRDefault="00B2678F" w:rsidP="00E34FF2">
      <w:pPr>
        <w:pStyle w:val="Titre3"/>
      </w:pPr>
      <w:bookmarkStart w:id="10" w:name="_Toc45807140"/>
      <w:bookmarkStart w:id="11" w:name="_Toc56788864"/>
      <w:r w:rsidRPr="00CB76BF">
        <w:t>Principes juridiques</w:t>
      </w:r>
      <w:bookmarkEnd w:id="10"/>
      <w:bookmarkEnd w:id="11"/>
    </w:p>
    <w:p w14:paraId="3096A139" w14:textId="77777777" w:rsidR="00E34FF2" w:rsidRPr="00CB76BF" w:rsidRDefault="00B2678F" w:rsidP="00E34FF2">
      <w:pPr>
        <w:numPr>
          <w:ilvl w:val="0"/>
          <w:numId w:val="1"/>
        </w:numPr>
        <w:spacing w:before="120" w:after="120"/>
        <w:jc w:val="both"/>
        <w:rPr>
          <w:kern w:val="28"/>
        </w:rPr>
      </w:pPr>
      <w:r w:rsidRPr="00CB76BF">
        <w:rPr>
          <w:kern w:val="28"/>
        </w:rPr>
        <w:t xml:space="preserve">L’action collective est une procédure par laquelle une personne, le représentant, poursuit au nom de tous les membres d’un groupe qui ont une réclamation similaire. Comme le représentant du groupe n’est pas spécifiquement mandaté pour agir au nom </w:t>
      </w:r>
      <w:r w:rsidRPr="00CB76BF">
        <w:rPr>
          <w:kern w:val="28"/>
        </w:rPr>
        <w:lastRenderedPageBreak/>
        <w:t>des membres, une autorisation de la cour est requise avant qu’un recours collectif puisse être déposé</w:t>
      </w:r>
      <w:bookmarkStart w:id="12" w:name="_Ref61532313"/>
      <w:r>
        <w:rPr>
          <w:vertAlign w:val="superscript"/>
          <w:lang w:val="en-CA"/>
        </w:rPr>
        <w:footnoteReference w:id="9"/>
      </w:r>
      <w:bookmarkEnd w:id="12"/>
      <w:r w:rsidRPr="00CB76BF">
        <w:rPr>
          <w:kern w:val="28"/>
        </w:rPr>
        <w:t>.</w:t>
      </w:r>
    </w:p>
    <w:p w14:paraId="1DB3C274" w14:textId="77777777" w:rsidR="00E34FF2" w:rsidRPr="00CB76BF" w:rsidRDefault="00B2678F" w:rsidP="00E34FF2">
      <w:pPr>
        <w:numPr>
          <w:ilvl w:val="0"/>
          <w:numId w:val="1"/>
        </w:numPr>
        <w:spacing w:before="120" w:after="120"/>
        <w:jc w:val="both"/>
        <w:rPr>
          <w:kern w:val="28"/>
        </w:rPr>
      </w:pPr>
      <w:r w:rsidRPr="00CB76BF">
        <w:rPr>
          <w:kern w:val="28"/>
        </w:rPr>
        <w:t>L’article 574 C.p.c. prévoit que la demande d’autorisation d’exercer une action collective doit énoncer : i) les faits sur lesquels l’action collective est fondée ; ii) la nature de l’action collective; et iii) le groupe au nom duquel le représentant entend agir.</w:t>
      </w:r>
    </w:p>
    <w:p w14:paraId="14379F34" w14:textId="77777777" w:rsidR="00E34FF2" w:rsidRPr="00CB76BF" w:rsidRDefault="00B2678F" w:rsidP="00AA7499">
      <w:pPr>
        <w:keepNext/>
        <w:numPr>
          <w:ilvl w:val="0"/>
          <w:numId w:val="1"/>
        </w:numPr>
        <w:spacing w:before="120" w:after="120"/>
        <w:jc w:val="both"/>
        <w:rPr>
          <w:kern w:val="28"/>
        </w:rPr>
      </w:pPr>
      <w:r w:rsidRPr="00CB76BF">
        <w:rPr>
          <w:kern w:val="28"/>
        </w:rPr>
        <w:t>Selon l’article 575 C.p.c., le tribunal doit autoriser l’action collective s’il est d’avis que :</w:t>
      </w:r>
    </w:p>
    <w:p w14:paraId="34E3572C" w14:textId="77777777" w:rsidR="00E34FF2" w:rsidRPr="00CB76BF" w:rsidRDefault="00B2678F" w:rsidP="00AA7499">
      <w:pPr>
        <w:keepNext/>
        <w:widowControl w:val="0"/>
        <w:tabs>
          <w:tab w:val="left" w:pos="1418"/>
        </w:tabs>
        <w:spacing w:before="120" w:after="120"/>
        <w:ind w:left="1418" w:hanging="709"/>
        <w:jc w:val="both"/>
        <w:rPr>
          <w:kern w:val="28"/>
        </w:rPr>
      </w:pPr>
      <w:r w:rsidRPr="00CB76BF">
        <w:rPr>
          <w:kern w:val="28"/>
        </w:rPr>
        <w:t>1°</w:t>
      </w:r>
      <w:r w:rsidRPr="00CB76BF">
        <w:rPr>
          <w:kern w:val="28"/>
        </w:rPr>
        <w:tab/>
        <w:t>les demandes des membres du groupe soulèvent des questions de droit ou de fait identiques, similaires ou connexes;</w:t>
      </w:r>
    </w:p>
    <w:p w14:paraId="1093FF31" w14:textId="77777777" w:rsidR="00E34FF2" w:rsidRPr="00CB76BF" w:rsidRDefault="00B2678F" w:rsidP="00E34FF2">
      <w:pPr>
        <w:tabs>
          <w:tab w:val="left" w:pos="1418"/>
        </w:tabs>
        <w:spacing w:before="120" w:after="120"/>
        <w:ind w:left="1418" w:hanging="709"/>
        <w:jc w:val="both"/>
        <w:rPr>
          <w:kern w:val="28"/>
        </w:rPr>
      </w:pPr>
      <w:r w:rsidRPr="00CB76BF">
        <w:rPr>
          <w:kern w:val="28"/>
        </w:rPr>
        <w:t>2°</w:t>
      </w:r>
      <w:r w:rsidRPr="00CB76BF">
        <w:rPr>
          <w:kern w:val="28"/>
        </w:rPr>
        <w:tab/>
        <w:t>les faits allégués paraissent justifier les conclusions recherchées;</w:t>
      </w:r>
    </w:p>
    <w:p w14:paraId="18B1A3DD" w14:textId="77777777" w:rsidR="00E34FF2" w:rsidRPr="00CB76BF" w:rsidRDefault="00B2678F" w:rsidP="00E34FF2">
      <w:pPr>
        <w:tabs>
          <w:tab w:val="left" w:pos="1418"/>
        </w:tabs>
        <w:spacing w:before="120" w:after="120"/>
        <w:ind w:left="1418" w:hanging="709"/>
        <w:jc w:val="both"/>
        <w:rPr>
          <w:kern w:val="28"/>
        </w:rPr>
      </w:pPr>
      <w:r w:rsidRPr="00CB76BF">
        <w:rPr>
          <w:kern w:val="28"/>
        </w:rPr>
        <w:t>3°</w:t>
      </w:r>
      <w:r w:rsidRPr="00CB76BF">
        <w:rPr>
          <w:kern w:val="28"/>
        </w:rPr>
        <w:tab/>
        <w:t>la composition du groupe rend difficile ou peu pratique l’application des règles relatives aux mandats d’ester en justice pour le compte d’autrui ou à la jonction d’instance; et</w:t>
      </w:r>
    </w:p>
    <w:p w14:paraId="71E81D70" w14:textId="77777777" w:rsidR="00E34FF2" w:rsidRPr="00CB76BF" w:rsidRDefault="00B2678F" w:rsidP="00E34FF2">
      <w:pPr>
        <w:tabs>
          <w:tab w:val="left" w:pos="1418"/>
        </w:tabs>
        <w:spacing w:before="120" w:after="120"/>
        <w:ind w:left="1418" w:hanging="709"/>
        <w:jc w:val="both"/>
        <w:rPr>
          <w:kern w:val="28"/>
        </w:rPr>
      </w:pPr>
      <w:r w:rsidRPr="00CB76BF">
        <w:rPr>
          <w:kern w:val="28"/>
        </w:rPr>
        <w:t>4°</w:t>
      </w:r>
      <w:r w:rsidRPr="00CB76BF">
        <w:rPr>
          <w:kern w:val="28"/>
        </w:rPr>
        <w:tab/>
        <w:t>le membre auquel il entend attribuer le statut de représentant est en mesure d’assurer une représentation adéquate des membres.</w:t>
      </w:r>
    </w:p>
    <w:p w14:paraId="70BE4ED1" w14:textId="77777777" w:rsidR="00E34FF2" w:rsidRPr="009D6B9E" w:rsidRDefault="00B2678F" w:rsidP="00E34FF2">
      <w:pPr>
        <w:pStyle w:val="Paragrsimple"/>
        <w:numPr>
          <w:ilvl w:val="0"/>
          <w:numId w:val="1"/>
        </w:numPr>
        <w:tabs>
          <w:tab w:val="clear" w:pos="360"/>
        </w:tabs>
      </w:pPr>
      <w:r w:rsidRPr="00CB76BF">
        <w:t xml:space="preserve">Le rôle du tribunal à l’étape de l’autorisation a été décrit comme un de « filtrage ». Il doit éliminer les cas insoutenables et frivoles qui ne répondent manifestement pas aux exigences de l’émission d’une action collective (article 575 C.p.c.). Le seuil demeure bas. Les exigences doivent être interprétées de façon large et libérale afin de donner pleinement effet aux objectifs sociaux des recours collectifs (indemniser les victimes, faciliter l’accès à la justice, modifier les comportements nuisibles et préserver les ressources judiciaires limitées). </w:t>
      </w:r>
      <w:r>
        <w:t>L</w:t>
      </w:r>
      <w:r w:rsidRPr="00CB76BF">
        <w:t xml:space="preserve">orsque les quatre critères sont </w:t>
      </w:r>
      <w:r>
        <w:t>satisfaits</w:t>
      </w:r>
      <w:r w:rsidRPr="00CB76BF">
        <w:t>, la cour n’a aucun pouvoir discrétionnaire pour refuser l</w:t>
      </w:r>
      <w:r>
        <w:t>’</w:t>
      </w:r>
      <w:r w:rsidRPr="00CB76BF">
        <w:t>autorisation.</w:t>
      </w:r>
      <w:r w:rsidRPr="009D6B9E">
        <w:t xml:space="preserve"> </w:t>
      </w:r>
      <w:r>
        <w:t>De plus, s</w:t>
      </w:r>
      <w:r w:rsidRPr="00CB76BF">
        <w:t>i un doute persiste à la fin de l’analyse des quatre critères, le doute doit profiter au demandeur et l’autorisation doit être accordée</w:t>
      </w:r>
      <w:bookmarkStart w:id="13" w:name="_Ref68680173"/>
      <w:r>
        <w:rPr>
          <w:vertAlign w:val="superscript"/>
          <w:lang w:val="en-CA"/>
        </w:rPr>
        <w:footnoteReference w:id="10"/>
      </w:r>
      <w:bookmarkEnd w:id="13"/>
      <w:r w:rsidRPr="00CB76BF">
        <w:t>.</w:t>
      </w:r>
    </w:p>
    <w:p w14:paraId="4FE28EF4" w14:textId="77777777" w:rsidR="00E34FF2" w:rsidRDefault="00B2678F" w:rsidP="00E34FF2">
      <w:pPr>
        <w:pStyle w:val="Paragrsimple"/>
        <w:numPr>
          <w:ilvl w:val="0"/>
          <w:numId w:val="1"/>
        </w:numPr>
        <w:tabs>
          <w:tab w:val="clear" w:pos="360"/>
        </w:tabs>
      </w:pPr>
      <w:r w:rsidRPr="00CB76BF">
        <w:t xml:space="preserve">Toutefois, </w:t>
      </w:r>
      <w:r>
        <w:t>l</w:t>
      </w:r>
      <w:r w:rsidRPr="00CB76BF">
        <w:t xml:space="preserve">es objectifs </w:t>
      </w:r>
      <w:r>
        <w:t>sociaux qui justifient l’action collective n</w:t>
      </w:r>
      <w:r w:rsidRPr="00CB76BF">
        <w:t xml:space="preserve">e remplacent pas les conditions d’autorisation et il faut se garder d’autoriser une action collective qui ne les </w:t>
      </w:r>
      <w:r w:rsidRPr="00CB76BF">
        <w:lastRenderedPageBreak/>
        <w:t>satisfait pas pour la simple raison que l’action rejoint ces objectifs</w:t>
      </w:r>
      <w:bookmarkStart w:id="14" w:name="_Ref77595785"/>
      <w:r>
        <w:rPr>
          <w:vertAlign w:val="superscript"/>
        </w:rPr>
        <w:footnoteReference w:id="11"/>
      </w:r>
      <w:bookmarkEnd w:id="14"/>
      <w:r w:rsidRPr="00CB76BF">
        <w:t xml:space="preserve">. En effet, </w:t>
      </w:r>
      <w:r>
        <w:t>« </w:t>
      </w:r>
      <w:r w:rsidRPr="00CB76BF">
        <w:t>s’il est vrai que l’action collective constitue un formidable outil d’accès à la justice, ceux qui sont appelés à s’en défendre ne devraient y être forcés qu’à l’encontre d’actions qui sont soutenables</w:t>
      </w:r>
      <w:r>
        <w:t> »</w:t>
      </w:r>
      <w:bookmarkStart w:id="15" w:name="_Ref228803057"/>
      <w:r>
        <w:rPr>
          <w:vertAlign w:val="superscript"/>
        </w:rPr>
        <w:footnoteReference w:id="12"/>
      </w:r>
      <w:bookmarkEnd w:id="15"/>
      <w:r w:rsidRPr="00CB76BF">
        <w:t>.</w:t>
      </w:r>
    </w:p>
    <w:p w14:paraId="4192F730" w14:textId="77777777" w:rsidR="00E34FF2" w:rsidRPr="00111BD1" w:rsidRDefault="00B2678F" w:rsidP="00E34FF2">
      <w:pPr>
        <w:pStyle w:val="Titre3"/>
      </w:pPr>
      <w:r>
        <w:t>Discussion</w:t>
      </w:r>
    </w:p>
    <w:p w14:paraId="3E21D064" w14:textId="77777777" w:rsidR="00E34FF2" w:rsidRPr="00CB76BF" w:rsidRDefault="00B2678F" w:rsidP="005E2A8B">
      <w:pPr>
        <w:pStyle w:val="Titre4"/>
        <w:jc w:val="both"/>
      </w:pPr>
      <w:r w:rsidRPr="00CB76BF">
        <w:t>Questions de droit et de faits similaires ou connexes (article 575(1) C.p.c.)</w:t>
      </w:r>
    </w:p>
    <w:p w14:paraId="32447202" w14:textId="77777777" w:rsidR="00E34FF2" w:rsidRPr="00CB76BF" w:rsidRDefault="00B2678F" w:rsidP="00E34FF2">
      <w:pPr>
        <w:numPr>
          <w:ilvl w:val="0"/>
          <w:numId w:val="1"/>
        </w:numPr>
        <w:spacing w:before="120" w:after="120"/>
        <w:jc w:val="both"/>
        <w:rPr>
          <w:kern w:val="28"/>
        </w:rPr>
      </w:pPr>
      <w:r w:rsidRPr="004722D2">
        <w:rPr>
          <w:kern w:val="28"/>
        </w:rPr>
        <w:t>Cette exigence</w:t>
      </w:r>
      <w:r w:rsidRPr="00CB76BF">
        <w:rPr>
          <w:kern w:val="28"/>
        </w:rPr>
        <w:t xml:space="preserve"> est généralement facile à satisfaire.</w:t>
      </w:r>
    </w:p>
    <w:p w14:paraId="06D67CDD" w14:textId="77777777" w:rsidR="00E34FF2" w:rsidRPr="00CB76BF" w:rsidRDefault="00B2678F" w:rsidP="00E34FF2">
      <w:pPr>
        <w:pStyle w:val="Paragrsimple"/>
        <w:numPr>
          <w:ilvl w:val="0"/>
          <w:numId w:val="1"/>
        </w:numPr>
        <w:tabs>
          <w:tab w:val="clear" w:pos="360"/>
        </w:tabs>
      </w:pPr>
      <w:r w:rsidRPr="00CB76BF">
        <w:t xml:space="preserve">Il n’est pas nécessaire que les demandes des membres du groupe soient identiques ou que la détermination des questions communes mène à la résolution complète de l’affaire. Les questions communes ne requièrent </w:t>
      </w:r>
      <w:r w:rsidR="002819FB">
        <w:t>pas</w:t>
      </w:r>
      <w:r w:rsidRPr="00CB76BF">
        <w:t xml:space="preserve"> </w:t>
      </w:r>
      <w:r w:rsidR="00152BDA" w:rsidRPr="00CB76BF">
        <w:t xml:space="preserve">nécessairement </w:t>
      </w:r>
      <w:r w:rsidRPr="00CB76BF">
        <w:t>des réponses communes</w:t>
      </w:r>
      <w:r>
        <w:rPr>
          <w:vertAlign w:val="superscript"/>
        </w:rPr>
        <w:footnoteReference w:id="13"/>
      </w:r>
      <w:r w:rsidRPr="00CB76BF">
        <w:t>. Néanmoins, il faut que certaines questions soient suffisamment reliées entre elles pour que leur adjudication bénéficie à tous les membres</w:t>
      </w:r>
      <w:r>
        <w:rPr>
          <w:vertAlign w:val="superscript"/>
        </w:rPr>
        <w:footnoteReference w:id="14"/>
      </w:r>
      <w:r w:rsidRPr="00CB76BF">
        <w:t>. Une seule question de droit identique, similaire ou connexe est suffisante « si elle fait progresser le litige de façon non négligeable »</w:t>
      </w:r>
      <w:r>
        <w:rPr>
          <w:vertAlign w:val="superscript"/>
        </w:rPr>
        <w:footnoteReference w:id="15"/>
      </w:r>
      <w:r w:rsidRPr="00CB76BF">
        <w:t>.</w:t>
      </w:r>
    </w:p>
    <w:p w14:paraId="6D80DE5C" w14:textId="77777777" w:rsidR="00E34FF2" w:rsidRDefault="00B2678F" w:rsidP="00E34FF2">
      <w:pPr>
        <w:pStyle w:val="Paragrsimple"/>
        <w:numPr>
          <w:ilvl w:val="0"/>
          <w:numId w:val="1"/>
        </w:numPr>
        <w:tabs>
          <w:tab w:val="clear" w:pos="360"/>
        </w:tabs>
      </w:pPr>
      <w:r>
        <w:t>Dans le cas présent, plusieurs des questions proposées au paragraphe 37 de la Demande d’autorisation sont communes et peuvent servir à faire avancer le débat de manière significative.</w:t>
      </w:r>
    </w:p>
    <w:p w14:paraId="03DF527B" w14:textId="77777777" w:rsidR="00E34FF2" w:rsidRDefault="00B2678F" w:rsidP="00E34FF2">
      <w:pPr>
        <w:pStyle w:val="Paragrsimple"/>
        <w:numPr>
          <w:ilvl w:val="0"/>
          <w:numId w:val="1"/>
        </w:numPr>
        <w:tabs>
          <w:tab w:val="clear" w:pos="360"/>
        </w:tabs>
      </w:pPr>
      <w:r>
        <w:t>À titre d’exemple :</w:t>
      </w:r>
    </w:p>
    <w:p w14:paraId="296BF142" w14:textId="77777777" w:rsidR="00E34FF2" w:rsidRDefault="00B2678F" w:rsidP="004229E3">
      <w:pPr>
        <w:pStyle w:val="Sous-paragraphe"/>
        <w:numPr>
          <w:ilvl w:val="0"/>
          <w:numId w:val="37"/>
        </w:numPr>
      </w:pPr>
      <w:r>
        <w:t>Les Fausses publicités ont-elles été publiées sur la plateforme des Défenderesses?</w:t>
      </w:r>
    </w:p>
    <w:p w14:paraId="2D1329C6" w14:textId="77777777" w:rsidR="00E34FF2" w:rsidRDefault="00B2678F" w:rsidP="004229E3">
      <w:pPr>
        <w:pStyle w:val="Sous-paragraphe"/>
        <w:numPr>
          <w:ilvl w:val="0"/>
          <w:numId w:val="37"/>
        </w:numPr>
      </w:pPr>
      <w:r>
        <w:t>Les Défenderesses sont-elles responsables des dommages causés à la Demanderesse par les Fausses publicités?</w:t>
      </w:r>
    </w:p>
    <w:p w14:paraId="53365EA1" w14:textId="77777777" w:rsidR="00E34FF2" w:rsidRDefault="00B2678F" w:rsidP="004229E3">
      <w:pPr>
        <w:pStyle w:val="Sous-paragraphe"/>
        <w:numPr>
          <w:ilvl w:val="0"/>
          <w:numId w:val="37"/>
        </w:numPr>
      </w:pPr>
      <w:r>
        <w:t xml:space="preserve">Les Défenderesses sont-elles </w:t>
      </w:r>
      <w:r w:rsidR="00152BDA" w:rsidRPr="004229E3">
        <w:t>responsables</w:t>
      </w:r>
      <w:r>
        <w:t xml:space="preserve"> de l’atteinte à la réputation </w:t>
      </w:r>
      <w:r w:rsidR="00152BDA">
        <w:t>subie par</w:t>
      </w:r>
      <w:r>
        <w:t xml:space="preserve"> </w:t>
      </w:r>
      <w:r w:rsidR="00152BDA">
        <w:t>la Défenderesse</w:t>
      </w:r>
      <w:r>
        <w:t xml:space="preserve"> </w:t>
      </w:r>
      <w:r w:rsidR="00152BDA">
        <w:t>ainsi que</w:t>
      </w:r>
      <w:r>
        <w:t xml:space="preserve"> </w:t>
      </w:r>
      <w:r w:rsidR="00152BDA">
        <w:t xml:space="preserve">par </w:t>
      </w:r>
      <w:r>
        <w:t xml:space="preserve">toutes les </w:t>
      </w:r>
      <w:r w:rsidR="00152BDA">
        <w:t xml:space="preserve">personnalités </w:t>
      </w:r>
      <w:r>
        <w:t xml:space="preserve">influentes au </w:t>
      </w:r>
      <w:r>
        <w:lastRenderedPageBreak/>
        <w:t xml:space="preserve">Québec qui ont </w:t>
      </w:r>
      <w:r w:rsidR="00152BDA">
        <w:t xml:space="preserve">été </w:t>
      </w:r>
      <w:r>
        <w:t>et continuent d</w:t>
      </w:r>
      <w:r w:rsidR="00152BDA">
        <w:t>’être utilisées</w:t>
      </w:r>
      <w:r>
        <w:t xml:space="preserve"> </w:t>
      </w:r>
      <w:r w:rsidR="00152BDA">
        <w:t xml:space="preserve">comme </w:t>
      </w:r>
      <w:r>
        <w:t xml:space="preserve">appât, </w:t>
      </w:r>
      <w:r w:rsidR="00152BDA">
        <w:t>en raison</w:t>
      </w:r>
      <w:r>
        <w:t xml:space="preserve"> </w:t>
      </w:r>
      <w:r w:rsidR="00152BDA">
        <w:t>de la diffusion</w:t>
      </w:r>
      <w:r>
        <w:t xml:space="preserve"> </w:t>
      </w:r>
      <w:r w:rsidR="00152BDA">
        <w:t xml:space="preserve">sur </w:t>
      </w:r>
      <w:r>
        <w:t xml:space="preserve">leur plateforme </w:t>
      </w:r>
      <w:r w:rsidR="00152BDA">
        <w:t xml:space="preserve">d’informations </w:t>
      </w:r>
      <w:r w:rsidR="009F15FA">
        <w:t>qui ne correspondent pas à la vérité</w:t>
      </w:r>
      <w:r>
        <w:t>?</w:t>
      </w:r>
    </w:p>
    <w:p w14:paraId="67D92E30" w14:textId="77777777" w:rsidR="00E34FF2" w:rsidRDefault="00B2678F" w:rsidP="004229E3">
      <w:pPr>
        <w:pStyle w:val="Sous-paragraphe"/>
        <w:numPr>
          <w:ilvl w:val="0"/>
          <w:numId w:val="37"/>
        </w:numPr>
      </w:pPr>
      <w:r>
        <w:t>Les Défenderesses ont-elles suivi correctement le processus d’examen prévu dans leurs standards publicitaires?</w:t>
      </w:r>
    </w:p>
    <w:p w14:paraId="11CDD044" w14:textId="77777777" w:rsidR="00E34FF2" w:rsidRDefault="00B2678F" w:rsidP="004229E3">
      <w:pPr>
        <w:pStyle w:val="Sous-paragraphe"/>
        <w:numPr>
          <w:ilvl w:val="0"/>
          <w:numId w:val="37"/>
        </w:numPr>
      </w:pPr>
      <w:r>
        <w:t>Est-ce que le processus d’examen des Fausses publicités inclut l’examen des liens vers lesquels lesdites Fausses publicités renvoient?</w:t>
      </w:r>
    </w:p>
    <w:p w14:paraId="1FBB789A" w14:textId="77777777" w:rsidR="00E34FF2" w:rsidRDefault="00B2678F" w:rsidP="004229E3">
      <w:pPr>
        <w:pStyle w:val="Sous-paragraphe"/>
        <w:numPr>
          <w:ilvl w:val="0"/>
          <w:numId w:val="37"/>
        </w:numPr>
      </w:pPr>
      <w:r>
        <w:t>Les Fausses publicités enfreignent-elles les standards publicitaires des Défenderesses?</w:t>
      </w:r>
    </w:p>
    <w:p w14:paraId="760E72C0" w14:textId="77777777" w:rsidR="00E34FF2" w:rsidRPr="0073245F" w:rsidRDefault="00B2678F" w:rsidP="004229E3">
      <w:pPr>
        <w:pStyle w:val="Sous-paragraphe"/>
        <w:numPr>
          <w:ilvl w:val="0"/>
          <w:numId w:val="37"/>
        </w:numPr>
      </w:pPr>
      <w:r>
        <w:t>[…]</w:t>
      </w:r>
    </w:p>
    <w:p w14:paraId="2355228B" w14:textId="77777777" w:rsidR="00E34FF2" w:rsidRPr="0073245F" w:rsidRDefault="00B2678F" w:rsidP="004229E3">
      <w:pPr>
        <w:pStyle w:val="Paragraphedeliste"/>
        <w:numPr>
          <w:ilvl w:val="0"/>
          <w:numId w:val="37"/>
        </w:numPr>
      </w:pPr>
      <w:r w:rsidRPr="0073245F">
        <w:t>[…]</w:t>
      </w:r>
    </w:p>
    <w:p w14:paraId="141AEC77" w14:textId="77777777" w:rsidR="00E34FF2" w:rsidRDefault="00B2678F" w:rsidP="004229E3">
      <w:pPr>
        <w:pStyle w:val="Sous-paragraphe"/>
        <w:numPr>
          <w:ilvl w:val="0"/>
          <w:numId w:val="37"/>
        </w:numPr>
      </w:pPr>
      <w:r>
        <w:t xml:space="preserve">Les Défenderesses ont-elles participé à des pratiques de commerce interdites par la </w:t>
      </w:r>
      <w:r w:rsidRPr="009F15FA">
        <w:rPr>
          <w:i/>
          <w:iCs/>
        </w:rPr>
        <w:t>Loi sur la protection du consommateur</w:t>
      </w:r>
      <w:r w:rsidRPr="005E2A8B">
        <w:t xml:space="preserve"> </w:t>
      </w:r>
      <w:r w:rsidRPr="004176F5">
        <w:t>(« </w:t>
      </w:r>
      <w:r w:rsidRPr="009F15FA">
        <w:rPr>
          <w:b/>
          <w:bCs/>
        </w:rPr>
        <w:t>LPC</w:t>
      </w:r>
      <w:r w:rsidRPr="004176F5">
        <w:t> »)</w:t>
      </w:r>
      <w:r>
        <w:footnoteReference w:id="16"/>
      </w:r>
      <w:r w:rsidRPr="004176F5">
        <w:t>?</w:t>
      </w:r>
    </w:p>
    <w:p w14:paraId="67EE4D05" w14:textId="77777777" w:rsidR="00E34FF2" w:rsidRDefault="00B2678F" w:rsidP="004229E3">
      <w:pPr>
        <w:pStyle w:val="Sous-paragraphe"/>
        <w:numPr>
          <w:ilvl w:val="0"/>
          <w:numId w:val="37"/>
        </w:numPr>
      </w:pPr>
      <w:r>
        <w:t xml:space="preserve">Les Défenderesses ont-elles participé à des représentations frauduleuses, fausses ou trompeuses aux </w:t>
      </w:r>
      <w:r w:rsidR="00991630">
        <w:t>M</w:t>
      </w:r>
      <w:r>
        <w:t xml:space="preserve">embres du Groupe visé? </w:t>
      </w:r>
    </w:p>
    <w:p w14:paraId="3C0DB712" w14:textId="77777777" w:rsidR="00E34FF2" w:rsidRPr="00CB76BF" w:rsidRDefault="00B2678F" w:rsidP="00E34FF2">
      <w:pPr>
        <w:pStyle w:val="Paragrsimple"/>
        <w:numPr>
          <w:ilvl w:val="0"/>
          <w:numId w:val="1"/>
        </w:numPr>
        <w:tabs>
          <w:tab w:val="clear" w:pos="360"/>
        </w:tabs>
      </w:pPr>
      <w:r>
        <w:t>Ce critère est satisfait.</w:t>
      </w:r>
    </w:p>
    <w:p w14:paraId="753509D9" w14:textId="77777777" w:rsidR="00E34FF2" w:rsidRPr="00CB76BF" w:rsidRDefault="00B2678F" w:rsidP="00E34FF2">
      <w:pPr>
        <w:pStyle w:val="Titre4"/>
      </w:pPr>
      <w:r w:rsidRPr="00CB76BF">
        <w:t>Allégations qui paraissent justifier les conclusions recherchées (article 575(2) C.p.c.)</w:t>
      </w:r>
    </w:p>
    <w:p w14:paraId="0EC7C1A5" w14:textId="77777777" w:rsidR="00E34FF2" w:rsidRPr="00CB76BF" w:rsidRDefault="00B2678F" w:rsidP="00E34FF2">
      <w:pPr>
        <w:numPr>
          <w:ilvl w:val="0"/>
          <w:numId w:val="1"/>
        </w:numPr>
        <w:spacing w:before="120" w:after="120"/>
        <w:jc w:val="both"/>
        <w:rPr>
          <w:kern w:val="28"/>
        </w:rPr>
      </w:pPr>
      <w:r w:rsidRPr="00CB76BF">
        <w:rPr>
          <w:kern w:val="28"/>
        </w:rPr>
        <w:t>En ce qui concerne le deuxième critère, l’article 575 C.p.c. prév</w:t>
      </w:r>
      <w:r>
        <w:rPr>
          <w:kern w:val="28"/>
        </w:rPr>
        <w:t>oit que les allégations</w:t>
      </w:r>
      <w:r w:rsidRPr="00CB76BF">
        <w:rPr>
          <w:kern w:val="28"/>
        </w:rPr>
        <w:t xml:space="preserve"> doivent « paraître » justifier les conclusions recherchées.</w:t>
      </w:r>
    </w:p>
    <w:p w14:paraId="205C9B81" w14:textId="77777777" w:rsidR="00E34FF2" w:rsidRPr="006E303B" w:rsidRDefault="00B2678F" w:rsidP="00E34FF2">
      <w:pPr>
        <w:pStyle w:val="Paragrsimple"/>
        <w:numPr>
          <w:ilvl w:val="0"/>
          <w:numId w:val="1"/>
        </w:numPr>
      </w:pPr>
      <w:r>
        <w:t>S’il est possible de « lire entre les lignes »</w:t>
      </w:r>
      <w:r w:rsidRPr="006E303B">
        <w:t xml:space="preserve"> </w:t>
      </w:r>
      <w:r>
        <w:t>afin de discerner une cause d’action défendable, la démarche repose d’abord sur les allégations de la procédure</w:t>
      </w:r>
      <w:r>
        <w:rPr>
          <w:rStyle w:val="Appelnotedebasdep"/>
        </w:rPr>
        <w:footnoteReference w:id="17"/>
      </w:r>
      <w:r>
        <w:t xml:space="preserve">. </w:t>
      </w:r>
      <w:r w:rsidRPr="006E303B">
        <w:t>Les affirmations vagues, générales ou imprécises ne sont pas suffisantes pour satisfaire à cette exigence. Il en va de même pour les simples affirmations avancées sans fondement factuel, les affirmations hypothétiques ou purement spéculatives</w:t>
      </w:r>
      <w:bookmarkStart w:id="16" w:name="_Ref86649277"/>
      <w:r>
        <w:rPr>
          <w:vertAlign w:val="superscript"/>
          <w:lang w:val="en-CA"/>
        </w:rPr>
        <w:footnoteReference w:id="18"/>
      </w:r>
      <w:bookmarkEnd w:id="16"/>
      <w:r w:rsidRPr="006E303B">
        <w:t>.</w:t>
      </w:r>
    </w:p>
    <w:p w14:paraId="1BC65F0F" w14:textId="77777777" w:rsidR="00E34FF2" w:rsidRPr="00CB76BF" w:rsidRDefault="00B2678F" w:rsidP="00E34FF2">
      <w:pPr>
        <w:numPr>
          <w:ilvl w:val="0"/>
          <w:numId w:val="1"/>
        </w:numPr>
        <w:spacing w:before="120" w:after="120"/>
        <w:jc w:val="both"/>
        <w:rPr>
          <w:kern w:val="28"/>
        </w:rPr>
      </w:pPr>
      <w:r w:rsidRPr="00CB76BF">
        <w:rPr>
          <w:kern w:val="28"/>
        </w:rPr>
        <w:t xml:space="preserve">Cela étant dit, le fardeau du demandeur est un de démonstration et non de preuve. Le demandeur n’a pas à démontrer que sa demande aura probablement du succès. Il </w:t>
      </w:r>
      <w:r w:rsidRPr="00CB76BF">
        <w:rPr>
          <w:kern w:val="28"/>
        </w:rPr>
        <w:lastRenderedPageBreak/>
        <w:t>suffit qu’il démontre, à première vue, qu’il existe une cause défendable à la lumière des faits et du droit applicable</w:t>
      </w:r>
      <w:bookmarkStart w:id="17" w:name="_Ref86649307"/>
      <w:r>
        <w:rPr>
          <w:vertAlign w:val="superscript"/>
          <w:lang w:val="en-CA"/>
        </w:rPr>
        <w:footnoteReference w:id="19"/>
      </w:r>
      <w:bookmarkEnd w:id="17"/>
      <w:r w:rsidRPr="00CB76BF">
        <w:rPr>
          <w:kern w:val="28"/>
        </w:rPr>
        <w:t>.</w:t>
      </w:r>
    </w:p>
    <w:p w14:paraId="243988F5" w14:textId="77777777" w:rsidR="00E34FF2" w:rsidRPr="00CB76BF" w:rsidRDefault="00B2678F" w:rsidP="00E34FF2">
      <w:pPr>
        <w:numPr>
          <w:ilvl w:val="0"/>
          <w:numId w:val="1"/>
        </w:numPr>
        <w:spacing w:before="120" w:after="120"/>
        <w:jc w:val="both"/>
        <w:rPr>
          <w:kern w:val="28"/>
        </w:rPr>
      </w:pPr>
      <w:r w:rsidRPr="00CB76BF">
        <w:rPr>
          <w:kern w:val="28"/>
        </w:rPr>
        <w:t>En ce qui concerne le droit, les allégations doivent être suffisamment précises « pour que le syllogisme juridique puisse être examiné, sans qu’il soit nécessaire de détailler pas à pas l’argumentation juridique qui revient aux plaidoiries du fond du litige ». Les allégations peuvent être imparfaites, mais leur véritable sens doit néanmoins être clair</w:t>
      </w:r>
      <w:r w:rsidR="002819FB">
        <w:rPr>
          <w:kern w:val="28"/>
        </w:rPr>
        <w:t>,</w:t>
      </w:r>
      <w:r w:rsidRPr="00CB76BF">
        <w:rPr>
          <w:kern w:val="28"/>
        </w:rPr>
        <w:t xml:space="preserve"> même si des déductions peuvent être tirées des allégations</w:t>
      </w:r>
      <w:r>
        <w:rPr>
          <w:vertAlign w:val="superscript"/>
          <w:lang w:val="en-CA"/>
        </w:rPr>
        <w:footnoteReference w:id="20"/>
      </w:r>
      <w:r w:rsidRPr="00CB76BF">
        <w:rPr>
          <w:kern w:val="28"/>
        </w:rPr>
        <w:t>.</w:t>
      </w:r>
    </w:p>
    <w:p w14:paraId="4E47F5EC" w14:textId="77777777" w:rsidR="00E34FF2" w:rsidRPr="00CB76BF" w:rsidRDefault="00B2678F" w:rsidP="00E34FF2">
      <w:pPr>
        <w:numPr>
          <w:ilvl w:val="0"/>
          <w:numId w:val="1"/>
        </w:numPr>
        <w:spacing w:before="120" w:after="120"/>
        <w:jc w:val="both"/>
        <w:rPr>
          <w:kern w:val="28"/>
        </w:rPr>
      </w:pPr>
      <w:r w:rsidRPr="00CB76BF">
        <w:rPr>
          <w:kern w:val="28"/>
        </w:rPr>
        <w:t xml:space="preserve">En ce qui concerne les faits, il n’est pas nécessaire de préciser dans les moindres détails les éléments de preuve que le demandeur entend présenter sur le fond de l’affaire. Les allégations de la demande proposée et les pièces déposées à leur appui sont présumées vraies, à moins qu’elles ne soient contredites par des preuves sommaires et évidentes. </w:t>
      </w:r>
      <w:r>
        <w:t xml:space="preserve">La présomption ne s’applique qu’aux faits et </w:t>
      </w:r>
      <w:r w:rsidRPr="00275AC3">
        <w:t xml:space="preserve">non </w:t>
      </w:r>
      <w:r>
        <w:t xml:space="preserve">à </w:t>
      </w:r>
      <w:r w:rsidRPr="00275AC3">
        <w:t xml:space="preserve">la qualification juridique que leur donne le </w:t>
      </w:r>
      <w:r w:rsidR="00436401">
        <w:t>d</w:t>
      </w:r>
      <w:r w:rsidRPr="00275AC3">
        <w:t xml:space="preserve">emandeur. Le tribunal doit </w:t>
      </w:r>
      <w:r>
        <w:t xml:space="preserve">aussi </w:t>
      </w:r>
      <w:r w:rsidRPr="00275AC3">
        <w:t xml:space="preserve">écarter les allégations qui sont vagues ou qui relèvent de l’opinion, de l’hypothèse ou de l’argumentation. </w:t>
      </w:r>
      <w:r w:rsidRPr="00CB76BF">
        <w:rPr>
          <w:kern w:val="28"/>
        </w:rPr>
        <w:t xml:space="preserve">Cette présomption </w:t>
      </w:r>
      <w:r>
        <w:rPr>
          <w:kern w:val="28"/>
        </w:rPr>
        <w:t xml:space="preserve">de véracité </w:t>
      </w:r>
      <w:r w:rsidRPr="00CB76BF">
        <w:rPr>
          <w:kern w:val="28"/>
        </w:rPr>
        <w:t>ne s’applique qu’aux faits présentés par le demandeur et non à ceux présentés par l</w:t>
      </w:r>
      <w:r>
        <w:rPr>
          <w:kern w:val="28"/>
        </w:rPr>
        <w:t>e défendeur</w:t>
      </w:r>
      <w:bookmarkStart w:id="18" w:name="_Ref228788902"/>
      <w:r>
        <w:rPr>
          <w:vertAlign w:val="superscript"/>
          <w:lang w:val="en-CA"/>
        </w:rPr>
        <w:footnoteReference w:id="21"/>
      </w:r>
      <w:bookmarkEnd w:id="18"/>
      <w:r w:rsidRPr="00CB76BF">
        <w:rPr>
          <w:kern w:val="28"/>
        </w:rPr>
        <w:t>.</w:t>
      </w:r>
    </w:p>
    <w:p w14:paraId="39B22D2F" w14:textId="77777777" w:rsidR="00E34FF2" w:rsidRPr="00CB76BF" w:rsidRDefault="00B2678F" w:rsidP="00E34FF2">
      <w:pPr>
        <w:numPr>
          <w:ilvl w:val="0"/>
          <w:numId w:val="1"/>
        </w:numPr>
        <w:spacing w:before="120" w:after="120"/>
        <w:jc w:val="both"/>
        <w:rPr>
          <w:kern w:val="28"/>
        </w:rPr>
      </w:pPr>
      <w:r w:rsidRPr="00CB76BF">
        <w:rPr>
          <w:kern w:val="28"/>
        </w:rPr>
        <w:t>L’étape de l’autorisation se distingue du procès sur le fond. Le mérite de l’affaire ne doit être examiné qu’après l’octroi de l’autorisation</w:t>
      </w:r>
      <w:bookmarkStart w:id="19" w:name="_Ref61849864"/>
      <w:r>
        <w:rPr>
          <w:vertAlign w:val="superscript"/>
          <w:lang w:val="en-CA"/>
        </w:rPr>
        <w:footnoteReference w:id="22"/>
      </w:r>
      <w:bookmarkEnd w:id="19"/>
      <w:r w:rsidRPr="00CB76BF">
        <w:rPr>
          <w:kern w:val="28"/>
        </w:rPr>
        <w:t>. Les juges d’autorisation peuvent décider de questions de droit lorsque la présentation de preuve supplémentaire ne les placerait pas dans une meilleure position. Toutefois, ils doivent s’abstenir de le faire si la décision nécessite d’appliquer le droit à des constatations de faits. Toute analyse de la preuve devrait être reportée au fond étant donné, d’une part, la frugalité et le caractère limité de la preuve disponible au stade de l’autorisation et</w:t>
      </w:r>
      <w:r w:rsidR="002819FB">
        <w:rPr>
          <w:kern w:val="28"/>
        </w:rPr>
        <w:t>,</w:t>
      </w:r>
      <w:r w:rsidRPr="00CB76BF">
        <w:rPr>
          <w:kern w:val="28"/>
        </w:rPr>
        <w:t xml:space="preserve"> d’autre part, le fait qu’une grande partie de la preuve pertinente demeure possiblement sous le contrôle des défendeurs</w:t>
      </w:r>
      <w:bookmarkStart w:id="20" w:name="_Ref66439309"/>
      <w:r>
        <w:rPr>
          <w:vertAlign w:val="superscript"/>
          <w:lang w:val="en-CA"/>
        </w:rPr>
        <w:footnoteReference w:id="23"/>
      </w:r>
      <w:bookmarkEnd w:id="20"/>
      <w:r w:rsidRPr="00CB76BF">
        <w:rPr>
          <w:kern w:val="28"/>
        </w:rPr>
        <w:t>.</w:t>
      </w:r>
    </w:p>
    <w:p w14:paraId="037C44BC" w14:textId="77777777" w:rsidR="00E34FF2" w:rsidRPr="00FE24A1" w:rsidRDefault="00B2678F" w:rsidP="00E34FF2">
      <w:pPr>
        <w:numPr>
          <w:ilvl w:val="0"/>
          <w:numId w:val="1"/>
        </w:numPr>
        <w:spacing w:before="120" w:after="120"/>
        <w:jc w:val="both"/>
        <w:rPr>
          <w:kern w:val="28"/>
        </w:rPr>
      </w:pPr>
      <w:r>
        <w:lastRenderedPageBreak/>
        <w:t xml:space="preserve">Puisque </w:t>
      </w:r>
      <w:r w:rsidRPr="00073FC6">
        <w:t>le recours n’existe pas sur une base collective au stade de l’autorisation</w:t>
      </w:r>
      <w:r>
        <w:t xml:space="preserve">, le tribunal doit examiner le </w:t>
      </w:r>
      <w:r w:rsidRPr="00073FC6">
        <w:t xml:space="preserve">recours individuel du </w:t>
      </w:r>
      <w:r>
        <w:t>d</w:t>
      </w:r>
      <w:r w:rsidRPr="00073FC6">
        <w:t xml:space="preserve">emandeur </w:t>
      </w:r>
      <w:r>
        <w:t xml:space="preserve">pour déterminer si le recours a une chance raisonnable de succès. </w:t>
      </w:r>
      <w:r w:rsidRPr="00073FC6">
        <w:t xml:space="preserve">Si le </w:t>
      </w:r>
      <w:r>
        <w:t>d</w:t>
      </w:r>
      <w:r w:rsidRPr="00073FC6">
        <w:t xml:space="preserve">emandeur ne détient pas </w:t>
      </w:r>
      <w:r>
        <w:t xml:space="preserve">lui-même </w:t>
      </w:r>
      <w:r w:rsidRPr="00073FC6">
        <w:t xml:space="preserve">une cause d’action personnelle soutenable, sa </w:t>
      </w:r>
      <w:r>
        <w:t>d</w:t>
      </w:r>
      <w:r w:rsidRPr="00073FC6">
        <w:t>emande doit être rejetée</w:t>
      </w:r>
      <w:r>
        <w:t xml:space="preserve"> même si </w:t>
      </w:r>
      <w:r w:rsidRPr="00073FC6">
        <w:t xml:space="preserve">d’autres membres du </w:t>
      </w:r>
      <w:r>
        <w:t>gr</w:t>
      </w:r>
      <w:r w:rsidRPr="00073FC6">
        <w:t>oupe p</w:t>
      </w:r>
      <w:r>
        <w:t xml:space="preserve">ourraient théoriquement détenir </w:t>
      </w:r>
      <w:r w:rsidRPr="00073FC6">
        <w:t>une cause d’action</w:t>
      </w:r>
      <w:r>
        <w:t xml:space="preserve"> valable</w:t>
      </w:r>
      <w:bookmarkStart w:id="21" w:name="_Ref228865102"/>
      <w:r>
        <w:rPr>
          <w:rStyle w:val="Appelnotedebasdep"/>
        </w:rPr>
        <w:footnoteReference w:id="24"/>
      </w:r>
      <w:bookmarkEnd w:id="21"/>
      <w:r w:rsidRPr="00073FC6">
        <w:t>.</w:t>
      </w:r>
    </w:p>
    <w:p w14:paraId="51659FE9" w14:textId="77777777" w:rsidR="00E34FF2" w:rsidRPr="003703E5" w:rsidRDefault="00B2678F" w:rsidP="005E2A8B">
      <w:pPr>
        <w:keepLines/>
        <w:numPr>
          <w:ilvl w:val="0"/>
          <w:numId w:val="1"/>
        </w:numPr>
        <w:spacing w:before="120" w:after="120"/>
        <w:jc w:val="both"/>
        <w:rPr>
          <w:kern w:val="28"/>
        </w:rPr>
      </w:pPr>
      <w:r w:rsidRPr="003703E5">
        <w:rPr>
          <w:kern w:val="28"/>
        </w:rPr>
        <w:t>Lorsque plusieurs causes d’action indépendantes sont invoquées au soutien d’une conclusion de la demande d’autorisation, le juge autorisateur doit, avant de conclure que le critère énoncé au paragraphe 575(2) C.p.c. n’est pas satisfait, analyser un à un les fondements juridiques invoqués et expliquer pourquoi chacun s’avère voué à l’échec</w:t>
      </w:r>
      <w:bookmarkStart w:id="22" w:name="_Ref228788472"/>
      <w:r>
        <w:rPr>
          <w:rStyle w:val="Appelnotedebasdep"/>
          <w:kern w:val="28"/>
        </w:rPr>
        <w:footnoteReference w:id="25"/>
      </w:r>
      <w:bookmarkEnd w:id="22"/>
      <w:r w:rsidRPr="003703E5">
        <w:rPr>
          <w:kern w:val="28"/>
        </w:rPr>
        <w:t>. Par ailleurs, lorsque le tribunal conclut qu’un des fondements juridiques invoqués est susceptible de mener à une conclusion recherchée, il n’était pas utile</w:t>
      </w:r>
      <w:r>
        <w:rPr>
          <w:kern w:val="28"/>
        </w:rPr>
        <w:t>,</w:t>
      </w:r>
      <w:r w:rsidRPr="003703E5">
        <w:rPr>
          <w:kern w:val="28"/>
        </w:rPr>
        <w:t xml:space="preserve"> ni nécessaire</w:t>
      </w:r>
      <w:r>
        <w:rPr>
          <w:kern w:val="28"/>
        </w:rPr>
        <w:t>,</w:t>
      </w:r>
      <w:r w:rsidRPr="003703E5">
        <w:rPr>
          <w:kern w:val="28"/>
        </w:rPr>
        <w:t xml:space="preserve"> d’examiner les autres fondements </w:t>
      </w:r>
      <w:r>
        <w:rPr>
          <w:kern w:val="28"/>
        </w:rPr>
        <w:t>allégués</w:t>
      </w:r>
      <w:r>
        <w:rPr>
          <w:rStyle w:val="Appelnotedebasdep"/>
          <w:kern w:val="28"/>
        </w:rPr>
        <w:footnoteReference w:id="26"/>
      </w:r>
      <w:r w:rsidRPr="003703E5">
        <w:rPr>
          <w:kern w:val="28"/>
        </w:rPr>
        <w:t>.</w:t>
      </w:r>
    </w:p>
    <w:p w14:paraId="42B48FA7" w14:textId="77777777" w:rsidR="00E34FF2" w:rsidRDefault="00B2678F" w:rsidP="00E34FF2">
      <w:pPr>
        <w:numPr>
          <w:ilvl w:val="0"/>
          <w:numId w:val="1"/>
        </w:numPr>
        <w:spacing w:before="120" w:after="120"/>
        <w:jc w:val="both"/>
        <w:rPr>
          <w:kern w:val="28"/>
        </w:rPr>
      </w:pPr>
      <w:r w:rsidRPr="00456C82">
        <w:rPr>
          <w:kern w:val="28"/>
        </w:rPr>
        <w:t>La Demanderesse</w:t>
      </w:r>
      <w:r>
        <w:rPr>
          <w:kern w:val="28"/>
        </w:rPr>
        <w:t xml:space="preserve"> </w:t>
      </w:r>
      <w:r w:rsidR="00500197">
        <w:rPr>
          <w:kern w:val="28"/>
        </w:rPr>
        <w:t xml:space="preserve">affirme </w:t>
      </w:r>
      <w:r>
        <w:rPr>
          <w:kern w:val="28"/>
        </w:rPr>
        <w:t>que les Défenderesses doivent être tenues responsables parce que :</w:t>
      </w:r>
    </w:p>
    <w:p w14:paraId="23F7C3A0" w14:textId="77777777" w:rsidR="00E34FF2" w:rsidRDefault="00B2678F" w:rsidP="00E34FF2">
      <w:pPr>
        <w:pStyle w:val="Sous-paragraphe"/>
        <w:numPr>
          <w:ilvl w:val="1"/>
          <w:numId w:val="1"/>
        </w:numPr>
        <w:tabs>
          <w:tab w:val="clear" w:pos="1000"/>
          <w:tab w:val="num" w:pos="1701"/>
        </w:tabs>
        <w:ind w:left="1701" w:hanging="992"/>
      </w:pPr>
      <w:r>
        <w:t>Les Fausses publicités utilisées par les fraudeurs contiennent de fausses informations et contreviennent donc aux standards publicitaires des Défenderesses</w:t>
      </w:r>
      <w:r w:rsidR="00500197">
        <w:t>.</w:t>
      </w:r>
    </w:p>
    <w:p w14:paraId="73188F50" w14:textId="77777777" w:rsidR="00E34FF2" w:rsidRPr="004121D2" w:rsidRDefault="00B2678F" w:rsidP="00E34FF2">
      <w:pPr>
        <w:pStyle w:val="Sous-paragraphe"/>
        <w:numPr>
          <w:ilvl w:val="1"/>
          <w:numId w:val="1"/>
        </w:numPr>
        <w:tabs>
          <w:tab w:val="clear" w:pos="1000"/>
          <w:tab w:val="num" w:pos="1701"/>
        </w:tabs>
        <w:ind w:left="1701" w:hanging="992"/>
      </w:pPr>
      <w:r>
        <w:t>Les publicités violent les article</w:t>
      </w:r>
      <w:r w:rsidR="002819FB">
        <w:t>s</w:t>
      </w:r>
      <w:r>
        <w:t xml:space="preserve"> 215 et suivants de la LPC.</w:t>
      </w:r>
    </w:p>
    <w:p w14:paraId="103EE720" w14:textId="77777777" w:rsidR="00E34FF2" w:rsidRDefault="00B2678F" w:rsidP="00E34FF2">
      <w:pPr>
        <w:pStyle w:val="Paragrsimple"/>
        <w:numPr>
          <w:ilvl w:val="0"/>
          <w:numId w:val="1"/>
        </w:numPr>
        <w:tabs>
          <w:tab w:val="clear" w:pos="360"/>
        </w:tabs>
      </w:pPr>
      <w:r>
        <w:t>Au soutien de la Demande d’autorisation, la Demanderesse allègue ce qui suit :</w:t>
      </w:r>
    </w:p>
    <w:p w14:paraId="5835823A" w14:textId="77777777" w:rsidR="00E34FF2" w:rsidRDefault="00B2678F" w:rsidP="00E34FF2">
      <w:pPr>
        <w:pStyle w:val="Sous-paragraphe"/>
        <w:numPr>
          <w:ilvl w:val="1"/>
          <w:numId w:val="1"/>
        </w:numPr>
        <w:tabs>
          <w:tab w:val="clear" w:pos="1000"/>
          <w:tab w:val="num" w:pos="1701"/>
        </w:tabs>
        <w:ind w:left="1701" w:hanging="992"/>
      </w:pPr>
      <w:r>
        <w:t>En septembre 2023, elle apprend qu’une publication commanditée la concernant a été publiée sur Facebook alléguant qu’« </w:t>
      </w:r>
      <w:r w:rsidR="00840522">
        <w:t xml:space="preserve">[e]lle </w:t>
      </w:r>
      <w:r>
        <w:t>s’est confessée accidentellement à l’antenne et tout le monde a découvert la vérité. C’est la fin de sa carrière. » et qu’il est possible de « lire l’interview, une confession inattendue », puis de cliquer sur un lien afin d’« en savoir plus »</w:t>
      </w:r>
      <w:r>
        <w:rPr>
          <w:rStyle w:val="Appelnotedebasdep"/>
        </w:rPr>
        <w:footnoteReference w:id="27"/>
      </w:r>
      <w:r w:rsidR="00840522">
        <w:t>.</w:t>
      </w:r>
    </w:p>
    <w:p w14:paraId="17D1CF7A" w14:textId="77777777" w:rsidR="00E34FF2" w:rsidRDefault="00B2678F" w:rsidP="00E34FF2">
      <w:pPr>
        <w:pStyle w:val="Sous-paragraphe"/>
        <w:numPr>
          <w:ilvl w:val="1"/>
          <w:numId w:val="1"/>
        </w:numPr>
        <w:tabs>
          <w:tab w:val="clear" w:pos="1000"/>
          <w:tab w:val="num" w:pos="1701"/>
        </w:tabs>
        <w:ind w:left="1701" w:hanging="992"/>
      </w:pPr>
      <w:r>
        <w:t>Cliquer</w:t>
      </w:r>
      <w:r w:rsidR="004E4456">
        <w:t xml:space="preserve"> sur le lien</w:t>
      </w:r>
      <w:r>
        <w:t xml:space="preserve"> </w:t>
      </w:r>
      <w:r w:rsidR="00840522">
        <w:t>redirige</w:t>
      </w:r>
      <w:r>
        <w:t xml:space="preserve"> vers un faux article du journal La Presse </w:t>
      </w:r>
      <w:r w:rsidR="00840522">
        <w:t xml:space="preserve">visant </w:t>
      </w:r>
      <w:r>
        <w:lastRenderedPageBreak/>
        <w:t xml:space="preserve">à </w:t>
      </w:r>
      <w:r w:rsidR="00840522">
        <w:t>persuader</w:t>
      </w:r>
      <w:r>
        <w:t xml:space="preserve"> les personnes </w:t>
      </w:r>
      <w:r w:rsidR="00840522">
        <w:t>ciblées</w:t>
      </w:r>
      <w:r>
        <w:t xml:space="preserve"> que la Demanderesse, personnalité publique québécoise</w:t>
      </w:r>
      <w:r w:rsidR="00840522">
        <w:t xml:space="preserve"> jouissant</w:t>
      </w:r>
      <w:r>
        <w:t xml:space="preserve"> d</w:t>
      </w:r>
      <w:r w:rsidR="00840522">
        <w:t>’une</w:t>
      </w:r>
      <w:r>
        <w:t xml:space="preserve"> bonne réputation, s’est enrichie grâce à des investissements automati</w:t>
      </w:r>
      <w:r w:rsidR="00840522">
        <w:t>sés</w:t>
      </w:r>
      <w:r>
        <w:t xml:space="preserve"> sur le marché de la cryptomonnaie et qu’il faut cliquer</w:t>
      </w:r>
      <w:r w:rsidR="00840522">
        <w:t xml:space="preserve"> à nouveau</w:t>
      </w:r>
      <w:r>
        <w:t xml:space="preserve"> pour </w:t>
      </w:r>
      <w:r w:rsidR="00840522">
        <w:t>obtenir davantage d’informations</w:t>
      </w:r>
      <w:r>
        <w:rPr>
          <w:rStyle w:val="Appelnotedebasdep"/>
        </w:rPr>
        <w:footnoteReference w:id="28"/>
      </w:r>
      <w:r w:rsidR="00840522">
        <w:t>.</w:t>
      </w:r>
    </w:p>
    <w:p w14:paraId="67113E14" w14:textId="77777777" w:rsidR="00E34FF2" w:rsidRDefault="00B2678F" w:rsidP="00E34FF2">
      <w:pPr>
        <w:pStyle w:val="Sous-paragraphe"/>
        <w:numPr>
          <w:ilvl w:val="1"/>
          <w:numId w:val="1"/>
        </w:numPr>
        <w:tabs>
          <w:tab w:val="clear" w:pos="1000"/>
          <w:tab w:val="num" w:pos="1701"/>
        </w:tabs>
        <w:ind w:left="1701" w:hanging="992"/>
      </w:pPr>
      <w:r>
        <w:t>Cliquer</w:t>
      </w:r>
      <w:r w:rsidR="00840522">
        <w:t xml:space="preserve"> sur</w:t>
      </w:r>
      <w:r>
        <w:t xml:space="preserve"> le lien mène à une fausse plateforme de cryptomonnaie </w:t>
      </w:r>
      <w:r w:rsidR="00840522">
        <w:t>dont</w:t>
      </w:r>
      <w:r>
        <w:t xml:space="preserve"> </w:t>
      </w:r>
      <w:r w:rsidR="00840522">
        <w:t>l’</w:t>
      </w:r>
      <w:r>
        <w:t xml:space="preserve">objectif </w:t>
      </w:r>
      <w:r w:rsidR="00840522">
        <w:t xml:space="preserve">est </w:t>
      </w:r>
      <w:r>
        <w:t xml:space="preserve">de soutirer </w:t>
      </w:r>
      <w:r w:rsidR="00840522">
        <w:t xml:space="preserve">frauduleusement </w:t>
      </w:r>
      <w:r>
        <w:t xml:space="preserve">de l’argent </w:t>
      </w:r>
      <w:r w:rsidR="00840522">
        <w:t xml:space="preserve">aux personnes </w:t>
      </w:r>
      <w:r>
        <w:t xml:space="preserve">qui s’y </w:t>
      </w:r>
      <w:r w:rsidR="00840522">
        <w:t>aventurent</w:t>
      </w:r>
      <w:r>
        <w:rPr>
          <w:rStyle w:val="Appelnotedebasdep"/>
        </w:rPr>
        <w:footnoteReference w:id="29"/>
      </w:r>
      <w:r w:rsidR="00840522">
        <w:t>.</w:t>
      </w:r>
    </w:p>
    <w:p w14:paraId="1B877F67" w14:textId="77777777" w:rsidR="00E34FF2" w:rsidRDefault="00B2678F" w:rsidP="00E34FF2">
      <w:pPr>
        <w:pStyle w:val="Sous-paragraphe"/>
        <w:numPr>
          <w:ilvl w:val="1"/>
          <w:numId w:val="1"/>
        </w:numPr>
        <w:tabs>
          <w:tab w:val="clear" w:pos="1000"/>
          <w:tab w:val="num" w:pos="1701"/>
        </w:tabs>
        <w:ind w:left="1701" w:hanging="992"/>
      </w:pPr>
      <w:r>
        <w:t xml:space="preserve">Au moins un utilisateur de Facebook a </w:t>
      </w:r>
      <w:r w:rsidR="004C2685">
        <w:t xml:space="preserve">dénoncé </w:t>
      </w:r>
      <w:r>
        <w:t xml:space="preserve">le caractère frauduleux des </w:t>
      </w:r>
      <w:r w:rsidR="00840522">
        <w:t xml:space="preserve">Fausses </w:t>
      </w:r>
      <w:r>
        <w:t>publicités mettant en scène la Demanderesse</w:t>
      </w:r>
      <w:r w:rsidR="004C2685">
        <w:t>,</w:t>
      </w:r>
      <w:r>
        <w:t xml:space="preserve"> sans que les Défenderesses </w:t>
      </w:r>
      <w:r w:rsidR="004C2685">
        <w:t xml:space="preserve">aient pris des mesures </w:t>
      </w:r>
      <w:r>
        <w:t>pour les retirer</w:t>
      </w:r>
      <w:r>
        <w:rPr>
          <w:rStyle w:val="Appelnotedebasdep"/>
        </w:rPr>
        <w:footnoteReference w:id="30"/>
      </w:r>
      <w:r w:rsidR="004C2685">
        <w:t>.</w:t>
      </w:r>
    </w:p>
    <w:p w14:paraId="382F48BE" w14:textId="77777777" w:rsidR="00E34FF2" w:rsidRDefault="00B2678F" w:rsidP="005E2A8B">
      <w:pPr>
        <w:pStyle w:val="Sous-paragraphe"/>
        <w:keepLines/>
        <w:numPr>
          <w:ilvl w:val="1"/>
          <w:numId w:val="1"/>
        </w:numPr>
        <w:tabs>
          <w:tab w:val="clear" w:pos="1000"/>
          <w:tab w:val="num" w:pos="1701"/>
        </w:tabs>
        <w:ind w:left="1701" w:hanging="992"/>
      </w:pPr>
      <w:r>
        <w:t xml:space="preserve">La Demanderesse a reçu plusieurs messages </w:t>
      </w:r>
      <w:r w:rsidR="004C2685">
        <w:t>signalant l’existence</w:t>
      </w:r>
      <w:r>
        <w:t xml:space="preserve"> des </w:t>
      </w:r>
      <w:r w:rsidR="004C2685">
        <w:t>F</w:t>
      </w:r>
      <w:r>
        <w:t>ausses publicités</w:t>
      </w:r>
      <w:r w:rsidR="004C2685">
        <w:t>,</w:t>
      </w:r>
      <w:r>
        <w:t xml:space="preserve"> ce qui lui permet de constater</w:t>
      </w:r>
      <w:r w:rsidR="004C2685">
        <w:t xml:space="preserve"> l’atteinte</w:t>
      </w:r>
      <w:r>
        <w:t xml:space="preserve"> </w:t>
      </w:r>
      <w:r w:rsidR="004C2685">
        <w:t>portée à sa</w:t>
      </w:r>
      <w:r>
        <w:t xml:space="preserve"> réputation</w:t>
      </w:r>
      <w:r>
        <w:rPr>
          <w:rStyle w:val="Appelnotedebasdep"/>
        </w:rPr>
        <w:footnoteReference w:id="31"/>
      </w:r>
      <w:r>
        <w:t>.</w:t>
      </w:r>
    </w:p>
    <w:p w14:paraId="09066EF4" w14:textId="77777777" w:rsidR="00E34FF2" w:rsidRDefault="00B2678F" w:rsidP="00E34FF2">
      <w:pPr>
        <w:numPr>
          <w:ilvl w:val="0"/>
          <w:numId w:val="1"/>
        </w:numPr>
        <w:spacing w:before="120" w:after="120"/>
        <w:jc w:val="both"/>
        <w:rPr>
          <w:kern w:val="28"/>
        </w:rPr>
      </w:pPr>
      <w:r>
        <w:rPr>
          <w:kern w:val="28"/>
        </w:rPr>
        <w:t>Ces faits sont précis</w:t>
      </w:r>
      <w:r w:rsidR="004C2685">
        <w:rPr>
          <w:kern w:val="28"/>
        </w:rPr>
        <w:t xml:space="preserve"> et</w:t>
      </w:r>
      <w:r>
        <w:rPr>
          <w:kern w:val="28"/>
        </w:rPr>
        <w:t xml:space="preserve"> appuyés </w:t>
      </w:r>
      <w:r w:rsidR="004C2685">
        <w:rPr>
          <w:kern w:val="28"/>
        </w:rPr>
        <w:t xml:space="preserve">par </w:t>
      </w:r>
      <w:r>
        <w:rPr>
          <w:kern w:val="28"/>
        </w:rPr>
        <w:t xml:space="preserve">une certaine preuve. </w:t>
      </w:r>
      <w:r w:rsidR="004C2685">
        <w:rPr>
          <w:kern w:val="28"/>
        </w:rPr>
        <w:t>À ce stade, i</w:t>
      </w:r>
      <w:r>
        <w:rPr>
          <w:kern w:val="28"/>
        </w:rPr>
        <w:t>ls doivent être tenus pour avérés.</w:t>
      </w:r>
    </w:p>
    <w:p w14:paraId="56DB3685" w14:textId="77777777" w:rsidR="00E34FF2" w:rsidRDefault="00B2678F" w:rsidP="00E34FF2">
      <w:pPr>
        <w:pStyle w:val="Titre5"/>
      </w:pPr>
      <w:r>
        <w:t>Les dommages pécuniaires et moraux</w:t>
      </w:r>
    </w:p>
    <w:p w14:paraId="32C768C7" w14:textId="77777777" w:rsidR="00E34FF2" w:rsidRDefault="00B2678F" w:rsidP="00E34FF2">
      <w:pPr>
        <w:numPr>
          <w:ilvl w:val="0"/>
          <w:numId w:val="1"/>
        </w:numPr>
        <w:spacing w:before="120" w:after="120"/>
        <w:jc w:val="both"/>
        <w:rPr>
          <w:kern w:val="28"/>
        </w:rPr>
      </w:pPr>
      <w:r>
        <w:rPr>
          <w:kern w:val="28"/>
        </w:rPr>
        <w:t>Les allégations permettent de conclure que la cause d’action de la Demanderesse n’est pas frivole.</w:t>
      </w:r>
    </w:p>
    <w:p w14:paraId="270B79AE" w14:textId="77777777" w:rsidR="00E34FF2" w:rsidRDefault="00B2678F" w:rsidP="00E34FF2">
      <w:pPr>
        <w:pStyle w:val="Paragrsimple"/>
        <w:numPr>
          <w:ilvl w:val="0"/>
          <w:numId w:val="1"/>
        </w:numPr>
        <w:tabs>
          <w:tab w:val="clear" w:pos="360"/>
        </w:tabs>
      </w:pPr>
      <w:r>
        <w:t>En effet, lorsque des escrocs utilisent abusivement le nom ou l’image d’une célébrité pour attirer des clics, les conséquences vont bien au-delà d’un simple désagrément. Elles peuvent entraîner de véritables répercussions financières et réputationnelles</w:t>
      </w:r>
      <w:r>
        <w:rPr>
          <w:rStyle w:val="Appelnotedebasdep"/>
        </w:rPr>
        <w:footnoteReference w:id="32"/>
      </w:r>
      <w:r>
        <w:t>. Par exemple :</w:t>
      </w:r>
    </w:p>
    <w:p w14:paraId="7E47C473" w14:textId="77777777" w:rsidR="00E34FF2" w:rsidRDefault="00B2678F" w:rsidP="00E34FF2">
      <w:pPr>
        <w:pStyle w:val="Sous-paragraphe"/>
        <w:numPr>
          <w:ilvl w:val="1"/>
          <w:numId w:val="1"/>
        </w:numPr>
        <w:tabs>
          <w:tab w:val="clear" w:pos="1000"/>
          <w:tab w:val="num" w:pos="1701"/>
        </w:tabs>
        <w:ind w:left="1701" w:hanging="992"/>
      </w:pPr>
      <w:r w:rsidRPr="00B05B6D">
        <w:rPr>
          <w:u w:val="single"/>
        </w:rPr>
        <w:t>Atteinte à la réputation :</w:t>
      </w:r>
      <w:r>
        <w:t xml:space="preserve"> Lorsque le public croit qu’une célébrité fait la promotion d’une arnaque, d’un produit de mauvaise qualité ou illicite, la confiance envers cette personne s’érode. Ces abus peuvent nuire à la crédibilité et à l’image de marque de cette personne.</w:t>
      </w:r>
    </w:p>
    <w:p w14:paraId="2248717B" w14:textId="77777777" w:rsidR="00E34FF2" w:rsidRDefault="00B2678F" w:rsidP="00E34FF2">
      <w:pPr>
        <w:pStyle w:val="Sous-paragraphe"/>
        <w:numPr>
          <w:ilvl w:val="1"/>
          <w:numId w:val="1"/>
        </w:numPr>
        <w:tabs>
          <w:tab w:val="clear" w:pos="1000"/>
          <w:tab w:val="num" w:pos="1701"/>
        </w:tabs>
        <w:ind w:left="1701" w:hanging="992"/>
      </w:pPr>
      <w:r>
        <w:rPr>
          <w:u w:val="single"/>
        </w:rPr>
        <w:t xml:space="preserve">Appropriation non autorisée et </w:t>
      </w:r>
      <w:r w:rsidRPr="00B05B6D">
        <w:rPr>
          <w:u w:val="single"/>
        </w:rPr>
        <w:t>Perte de valeur des partenariats publicitaires :</w:t>
      </w:r>
      <w:r>
        <w:t xml:space="preserve"> En profitant sans payer de l’image et de la réputation des célébrités, les fraudeurs s’approprient cette valeur sans compensation</w:t>
      </w:r>
      <w:r>
        <w:rPr>
          <w:rStyle w:val="Appelnotedebasdep"/>
        </w:rPr>
        <w:footnoteReference w:id="33"/>
      </w:r>
      <w:r>
        <w:t>. Par ailleurs, les personn</w:t>
      </w:r>
      <w:r w:rsidR="00346702">
        <w:t>alités</w:t>
      </w:r>
      <w:r>
        <w:t xml:space="preserve"> tirent souvent des revenus importants de </w:t>
      </w:r>
      <w:r>
        <w:lastRenderedPageBreak/>
        <w:t xml:space="preserve">partenariats publicitaires légitimes. Si leur nom est largement utilisé dans de fausses publicités, les entreprises peuvent les considérer comme « surexposées » ou risquées, ce qui réduit leur attractivité commerciale et leur pouvoir de négociation. </w:t>
      </w:r>
    </w:p>
    <w:p w14:paraId="50363F58" w14:textId="77777777" w:rsidR="00E34FF2" w:rsidRDefault="00B2678F" w:rsidP="00E34FF2">
      <w:pPr>
        <w:pStyle w:val="Sous-paragraphe"/>
        <w:numPr>
          <w:ilvl w:val="1"/>
          <w:numId w:val="1"/>
        </w:numPr>
        <w:tabs>
          <w:tab w:val="clear" w:pos="1000"/>
          <w:tab w:val="num" w:pos="1701"/>
        </w:tabs>
        <w:ind w:left="1701" w:hanging="992"/>
      </w:pPr>
      <w:r w:rsidRPr="00B05B6D">
        <w:rPr>
          <w:u w:val="single"/>
        </w:rPr>
        <w:t>Atteinte à la confiance des spectateurs et de leur relation avec eux :</w:t>
      </w:r>
      <w:r>
        <w:t xml:space="preserve"> Les spectateurs ou auditeurs qui perdent de l’argent à la suite d’arnaques peuvent se sentir trahis. Même si la célébrité n’est pas en faute, les réactions émotionnelles peuvent entraîner des réactions négatives, une perte d’auditoire, des désabonnements ou des critiques publiques, en particulier sur des plateformes comme celles des Défenderesses. Ces éléments peuvent affecter la carrière des personnes concernées.</w:t>
      </w:r>
    </w:p>
    <w:p w14:paraId="4C28EDA2" w14:textId="77777777" w:rsidR="00E34FF2" w:rsidRDefault="00B2678F" w:rsidP="00E34FF2">
      <w:pPr>
        <w:pStyle w:val="Sous-paragraphe"/>
        <w:numPr>
          <w:ilvl w:val="1"/>
          <w:numId w:val="1"/>
        </w:numPr>
        <w:tabs>
          <w:tab w:val="clear" w:pos="1000"/>
          <w:tab w:val="num" w:pos="1701"/>
        </w:tabs>
        <w:ind w:left="1701" w:hanging="992"/>
      </w:pPr>
      <w:r w:rsidRPr="00B05B6D">
        <w:rPr>
          <w:u w:val="single"/>
        </w:rPr>
        <w:t>Coûts juridiques et de mise en application :</w:t>
      </w:r>
      <w:r>
        <w:t xml:space="preserve"> Les célébrités doivent consacrer du temps et de l’argent à émettre des avis de retrait, à engager des avocats ou à intenter des poursuites judiciaires contre les usurpateurs d'identité. Cela peut devenir un effort constant et coûteux, en particulier lorsque les escroqueries opèrent dans plusieurs juridictions.</w:t>
      </w:r>
    </w:p>
    <w:p w14:paraId="59313172" w14:textId="77777777" w:rsidR="00E34FF2" w:rsidRDefault="00B2678F" w:rsidP="00E34FF2">
      <w:pPr>
        <w:numPr>
          <w:ilvl w:val="0"/>
          <w:numId w:val="1"/>
        </w:numPr>
        <w:spacing w:before="120" w:after="120"/>
        <w:jc w:val="both"/>
        <w:rPr>
          <w:kern w:val="28"/>
        </w:rPr>
      </w:pPr>
      <w:r>
        <w:rPr>
          <w:kern w:val="28"/>
        </w:rPr>
        <w:t>En permettant ou en facilitant ces gestes, il n’est pas frivole d’avancer que les Défenderesses violent les règles de conduite qui s’imposent à elles et contribuent ainsi aux dommages causés (article 1457 C.c.Q.)</w:t>
      </w:r>
      <w:r>
        <w:rPr>
          <w:rStyle w:val="Appelnotedebasdep"/>
          <w:kern w:val="28"/>
        </w:rPr>
        <w:footnoteReference w:id="34"/>
      </w:r>
      <w:r>
        <w:rPr>
          <w:kern w:val="28"/>
        </w:rPr>
        <w:t>.</w:t>
      </w:r>
    </w:p>
    <w:p w14:paraId="4F42DB33" w14:textId="77777777" w:rsidR="00E34FF2" w:rsidRDefault="00B2678F" w:rsidP="00E34FF2">
      <w:pPr>
        <w:numPr>
          <w:ilvl w:val="0"/>
          <w:numId w:val="1"/>
        </w:numPr>
        <w:spacing w:before="120" w:after="120"/>
        <w:jc w:val="both"/>
        <w:rPr>
          <w:kern w:val="28"/>
        </w:rPr>
      </w:pPr>
      <w:r>
        <w:rPr>
          <w:kern w:val="28"/>
        </w:rPr>
        <w:t>Les Défenderesses font valoir qu’à titre de gestionnaire de plateformes numériques, leur responsabilité est limitée.</w:t>
      </w:r>
    </w:p>
    <w:p w14:paraId="52E005DF" w14:textId="77777777" w:rsidR="00E34FF2" w:rsidRPr="00926540" w:rsidRDefault="00B2678F" w:rsidP="00E34FF2">
      <w:pPr>
        <w:numPr>
          <w:ilvl w:val="0"/>
          <w:numId w:val="1"/>
        </w:numPr>
        <w:spacing w:before="120" w:after="120"/>
        <w:jc w:val="both"/>
        <w:rPr>
          <w:kern w:val="28"/>
        </w:rPr>
      </w:pPr>
      <w:r>
        <w:rPr>
          <w:kern w:val="28"/>
        </w:rPr>
        <w:t xml:space="preserve">Elles réfèrent au jugement du soussigné dans </w:t>
      </w:r>
      <w:r w:rsidRPr="009D646C">
        <w:rPr>
          <w:i/>
          <w:iCs/>
          <w:kern w:val="28"/>
        </w:rPr>
        <w:t xml:space="preserve">Lehouillier-Dumas </w:t>
      </w:r>
      <w:r w:rsidRPr="005E2A8B">
        <w:rPr>
          <w:kern w:val="28"/>
        </w:rPr>
        <w:t>c.</w:t>
      </w:r>
      <w:r w:rsidRPr="009D646C">
        <w:rPr>
          <w:i/>
          <w:iCs/>
          <w:kern w:val="28"/>
        </w:rPr>
        <w:t xml:space="preserve"> Facebook inc.</w:t>
      </w:r>
      <w:r>
        <w:rPr>
          <w:rStyle w:val="Appelnotedebasdep"/>
          <w:kern w:val="28"/>
        </w:rPr>
        <w:footnoteReference w:id="35"/>
      </w:r>
      <w:r>
        <w:rPr>
          <w:kern w:val="28"/>
        </w:rPr>
        <w:t> :</w:t>
      </w:r>
    </w:p>
    <w:p w14:paraId="774E2DC0" w14:textId="77777777" w:rsidR="00E34FF2" w:rsidRPr="00926540" w:rsidRDefault="00B2678F" w:rsidP="00E34FF2">
      <w:pPr>
        <w:pStyle w:val="Citationenretrait"/>
      </w:pPr>
      <w:r>
        <w:rPr>
          <w:rFonts w:cs="Arial"/>
        </w:rPr>
        <w:t xml:space="preserve">[60] </w:t>
      </w:r>
      <w:r w:rsidRPr="00926540">
        <w:t xml:space="preserve">Au Québec, la </w:t>
      </w:r>
      <w:r w:rsidRPr="00B66396">
        <w:rPr>
          <w:i/>
          <w:iCs/>
        </w:rPr>
        <w:t>Loi concernant le cadre juridique des technologies de l’information</w:t>
      </w:r>
      <w:r w:rsidRPr="00926540">
        <w:t xml:space="preserve"> (la «</w:t>
      </w:r>
      <w:r>
        <w:t> </w:t>
      </w:r>
      <w:r w:rsidRPr="00926540">
        <w:t>LTI</w:t>
      </w:r>
      <w:r>
        <w:t> </w:t>
      </w:r>
      <w:r w:rsidRPr="00926540">
        <w:t>»)</w:t>
      </w:r>
      <w:r>
        <w:t xml:space="preserve"> </w:t>
      </w:r>
      <w:r w:rsidRPr="00926540">
        <w:t>a tranché ce débat. Elle prévoit qu’un gestionnaire de plateforme n’a aucune obligation de surveiller ou valider l’information contenue sur son site :</w:t>
      </w:r>
    </w:p>
    <w:p w14:paraId="0D3E149E" w14:textId="77777777" w:rsidR="00E34FF2" w:rsidRPr="00926540" w:rsidRDefault="00B2678F" w:rsidP="00E34FF2">
      <w:pPr>
        <w:pStyle w:val="Citationenretrait"/>
        <w:ind w:left="1134" w:right="1140"/>
      </w:pPr>
      <w:r w:rsidRPr="00926540">
        <w:t xml:space="preserve">27. Le prestataire de services qui agit à titre d’intermédiaire pour fournir des services sur un réseau de communication ou qui y conserve ou y transporte des documents technologiques </w:t>
      </w:r>
      <w:r w:rsidRPr="00B66396">
        <w:rPr>
          <w:u w:val="single"/>
        </w:rPr>
        <w:t>n’est pas tenu d’en surveiller l’information ni de rechercher des circonstances indiquant que les documents permettent la réalisation d’activités à caractère illicite</w:t>
      </w:r>
      <w:r w:rsidRPr="00926540">
        <w:t>.</w:t>
      </w:r>
    </w:p>
    <w:p w14:paraId="21A99A3D" w14:textId="77777777" w:rsidR="00E34FF2" w:rsidRPr="00926540" w:rsidRDefault="00B2678F" w:rsidP="00E34FF2">
      <w:pPr>
        <w:pStyle w:val="Citationenretrait"/>
        <w:jc w:val="right"/>
      </w:pPr>
      <w:r w:rsidRPr="00926540">
        <w:t>[Soulignement du Tribunal]</w:t>
      </w:r>
    </w:p>
    <w:p w14:paraId="028EC96A" w14:textId="77777777" w:rsidR="00E34FF2" w:rsidRPr="00926540" w:rsidRDefault="00B2678F" w:rsidP="00E34FF2">
      <w:pPr>
        <w:pStyle w:val="Citationenretrait"/>
      </w:pPr>
      <w:r w:rsidRPr="00926540">
        <w:t>[61] L’Accord Canada–États-Unis–Mexique (ACEUM) - Chapitre 19 - Commerce numérique reprend cette notion.</w:t>
      </w:r>
    </w:p>
    <w:p w14:paraId="3AD1A446" w14:textId="77777777" w:rsidR="00E34FF2" w:rsidRPr="00926540" w:rsidRDefault="00B2678F" w:rsidP="00E34FF2">
      <w:pPr>
        <w:pStyle w:val="Citationenretrait"/>
      </w:pPr>
      <w:r w:rsidRPr="00926540">
        <w:lastRenderedPageBreak/>
        <w:t>[62] De même, un gestionnaire de plateforme n’est pas responsable du contenu publié par les utilisateurs de la plateforme</w:t>
      </w:r>
      <w:r>
        <w:t> </w:t>
      </w:r>
      <w:r w:rsidRPr="00926540">
        <w:t>:</w:t>
      </w:r>
    </w:p>
    <w:p w14:paraId="1797F730" w14:textId="77777777" w:rsidR="00E34FF2" w:rsidRPr="00926540" w:rsidRDefault="00B2678F" w:rsidP="00E34FF2">
      <w:pPr>
        <w:pStyle w:val="Citationenretrait"/>
        <w:ind w:left="1134" w:right="1140"/>
      </w:pPr>
      <w:r w:rsidRPr="00926540">
        <w:t xml:space="preserve">22. </w:t>
      </w:r>
      <w:r w:rsidRPr="00B66396">
        <w:rPr>
          <w:b/>
          <w:bCs/>
        </w:rPr>
        <w:t>Services de conservation</w:t>
      </w:r>
      <w:r w:rsidRPr="00926540">
        <w:t xml:space="preserve">. Le prestataire de services qui agit à titre d'intermédiaire pour offrir des services de conservation de documents technologiques sur un réseau de communication </w:t>
      </w:r>
      <w:r w:rsidRPr="00B66396">
        <w:rPr>
          <w:u w:val="single"/>
        </w:rPr>
        <w:t>n’est pas responsable des activités accomplies par l’utilisateur du service</w:t>
      </w:r>
      <w:r w:rsidRPr="00926540">
        <w:t xml:space="preserve"> au moyen des documents remisés par ce dernier ou à la demande de celui-ci.</w:t>
      </w:r>
    </w:p>
    <w:p w14:paraId="3BF2AA2E" w14:textId="77777777" w:rsidR="00E34FF2" w:rsidRPr="00926540" w:rsidRDefault="00B2678F" w:rsidP="00E34FF2">
      <w:pPr>
        <w:pStyle w:val="Citationenretrait"/>
        <w:jc w:val="right"/>
      </w:pPr>
      <w:r w:rsidRPr="00926540">
        <w:t>[Soulignement du Tribunal]</w:t>
      </w:r>
    </w:p>
    <w:p w14:paraId="677773F6" w14:textId="77777777" w:rsidR="00E34FF2" w:rsidRPr="00926540" w:rsidRDefault="00B2678F" w:rsidP="00E34FF2">
      <w:pPr>
        <w:pStyle w:val="Citationenretrait"/>
      </w:pPr>
      <w:r w:rsidRPr="00926540">
        <w:t>[63] Par contre, le second alinéa du même article prévoit qu’un intermédiaire peut néanmoins engager sa responsabilité lorsqu’il a connaissance du caractère illicite du matériel hébergé sur sa plateforme et qu’il refuse de le retirer</w:t>
      </w:r>
      <w:r w:rsidR="00F32CBD">
        <w:t> :</w:t>
      </w:r>
    </w:p>
    <w:p w14:paraId="6CA8889E" w14:textId="77777777" w:rsidR="00E34FF2" w:rsidRDefault="00B2678F" w:rsidP="00E34FF2">
      <w:pPr>
        <w:pStyle w:val="Citationenretrait"/>
        <w:ind w:left="1134" w:right="1140"/>
      </w:pPr>
      <w:r w:rsidRPr="00B66396">
        <w:rPr>
          <w:b/>
          <w:bCs/>
        </w:rPr>
        <w:t>Responsabilité.</w:t>
      </w:r>
      <w:r w:rsidRPr="00926540">
        <w:t xml:space="preserve"> Cependant, il peut engager sa responsabilité, notamment s’il a de fait connaissance que les documents conservés servent à la réalisation d’une activité à caractère illicite ou s’il a connaissance de circonstances qui la rendent apparente et qu’il n’agit pas promptement pour rendre l’accès aux documents impossible ou pour autrement empêcher la poursuite de cette activité.</w:t>
      </w:r>
    </w:p>
    <w:p w14:paraId="188E16F4" w14:textId="77777777" w:rsidR="00E34FF2" w:rsidRDefault="00B2678F" w:rsidP="00E34FF2">
      <w:pPr>
        <w:numPr>
          <w:ilvl w:val="0"/>
          <w:numId w:val="1"/>
        </w:numPr>
        <w:spacing w:before="120" w:after="120"/>
        <w:jc w:val="both"/>
        <w:rPr>
          <w:kern w:val="28"/>
        </w:rPr>
      </w:pPr>
      <w:r w:rsidRPr="00340D16">
        <w:rPr>
          <w:kern w:val="28"/>
        </w:rPr>
        <w:t>Dès lors</w:t>
      </w:r>
      <w:r>
        <w:rPr>
          <w:kern w:val="28"/>
        </w:rPr>
        <w:t>, la responsabilité des Défenderesses peut être engagée lorsqu’elles sont avisées de contenu problématique (notamment de contenu utilisé à des fins illicites) et qu’elles refusent d’agir.</w:t>
      </w:r>
    </w:p>
    <w:p w14:paraId="1E13445E" w14:textId="77777777" w:rsidR="00E34FF2" w:rsidRPr="00366316" w:rsidRDefault="00B2678F" w:rsidP="00E34FF2">
      <w:pPr>
        <w:numPr>
          <w:ilvl w:val="0"/>
          <w:numId w:val="1"/>
        </w:numPr>
        <w:spacing w:before="120" w:after="120"/>
        <w:jc w:val="both"/>
        <w:rPr>
          <w:kern w:val="28"/>
        </w:rPr>
      </w:pPr>
      <w:r w:rsidRPr="00366316">
        <w:rPr>
          <w:kern w:val="28"/>
        </w:rPr>
        <w:t xml:space="preserve">Même si la Cour d’appel confirme que « la condition liée à la connaissance exige un degré raisonnable de certitude », </w:t>
      </w:r>
      <w:r>
        <w:rPr>
          <w:kern w:val="28"/>
        </w:rPr>
        <w:t xml:space="preserve">la cour </w:t>
      </w:r>
      <w:r w:rsidRPr="00366316">
        <w:rPr>
          <w:kern w:val="28"/>
        </w:rPr>
        <w:t>reconnait qu’il « s’agira évidemment d’une question de circonstances »</w:t>
      </w:r>
      <w:r>
        <w:rPr>
          <w:rStyle w:val="Appelnotedebasdep"/>
          <w:kern w:val="28"/>
        </w:rPr>
        <w:footnoteReference w:id="36"/>
      </w:r>
      <w:r w:rsidRPr="00366316">
        <w:rPr>
          <w:kern w:val="28"/>
        </w:rPr>
        <w:t xml:space="preserve">. Or, la Demanderesse allègue </w:t>
      </w:r>
      <w:r>
        <w:rPr>
          <w:kern w:val="28"/>
        </w:rPr>
        <w:t>la connaissance des Défenderesses</w:t>
      </w:r>
      <w:r w:rsidRPr="00366316">
        <w:rPr>
          <w:kern w:val="28"/>
        </w:rPr>
        <w:t>. Le degré de certitude de</w:t>
      </w:r>
      <w:r w:rsidR="00BD1ADE">
        <w:rPr>
          <w:kern w:val="28"/>
        </w:rPr>
        <w:t xml:space="preserve"> cette connaissance</w:t>
      </w:r>
      <w:r w:rsidRPr="00366316">
        <w:rPr>
          <w:kern w:val="28"/>
        </w:rPr>
        <w:t xml:space="preserve"> est une question factuelle qu’il ne serait pas approprié de tranc</w:t>
      </w:r>
      <w:r>
        <w:rPr>
          <w:kern w:val="28"/>
        </w:rPr>
        <w:t>h</w:t>
      </w:r>
      <w:r w:rsidRPr="00366316">
        <w:rPr>
          <w:kern w:val="28"/>
        </w:rPr>
        <w:t>er au stade de l’autorisation.</w:t>
      </w:r>
    </w:p>
    <w:p w14:paraId="643286B0" w14:textId="77777777" w:rsidR="00E34FF2" w:rsidRPr="009D646C" w:rsidRDefault="00B2678F" w:rsidP="00E34FF2">
      <w:pPr>
        <w:numPr>
          <w:ilvl w:val="0"/>
          <w:numId w:val="1"/>
        </w:numPr>
        <w:spacing w:before="120" w:after="120"/>
        <w:jc w:val="both"/>
        <w:rPr>
          <w:kern w:val="28"/>
        </w:rPr>
      </w:pPr>
      <w:r w:rsidRPr="009D646C">
        <w:rPr>
          <w:kern w:val="28"/>
        </w:rPr>
        <w:t xml:space="preserve">Deuxièmement, l’affaire </w:t>
      </w:r>
      <w:r w:rsidRPr="009D646C">
        <w:rPr>
          <w:i/>
          <w:iCs/>
          <w:kern w:val="28"/>
        </w:rPr>
        <w:t>Lehouillier-Dumas</w:t>
      </w:r>
      <w:r w:rsidRPr="009D646C">
        <w:rPr>
          <w:kern w:val="28"/>
        </w:rPr>
        <w:t xml:space="preserve"> visait la responsabilité de</w:t>
      </w:r>
      <w:r>
        <w:rPr>
          <w:kern w:val="28"/>
        </w:rPr>
        <w:t xml:space="preserve">s Défenderesses </w:t>
      </w:r>
      <w:r w:rsidRPr="009D646C">
        <w:rPr>
          <w:kern w:val="28"/>
        </w:rPr>
        <w:t>en lien avec des publications des utilisateurs</w:t>
      </w:r>
      <w:r>
        <w:rPr>
          <w:kern w:val="28"/>
        </w:rPr>
        <w:t xml:space="preserve"> et non des publicités génératives de revenus</w:t>
      </w:r>
      <w:r w:rsidRPr="009D646C">
        <w:rPr>
          <w:kern w:val="28"/>
        </w:rPr>
        <w:t>.</w:t>
      </w:r>
    </w:p>
    <w:p w14:paraId="01660527" w14:textId="77777777" w:rsidR="00E34FF2" w:rsidRDefault="00B2678F" w:rsidP="00E34FF2">
      <w:pPr>
        <w:numPr>
          <w:ilvl w:val="0"/>
          <w:numId w:val="1"/>
        </w:numPr>
        <w:spacing w:before="120" w:after="120"/>
        <w:jc w:val="both"/>
        <w:rPr>
          <w:kern w:val="28"/>
        </w:rPr>
      </w:pPr>
      <w:r>
        <w:rPr>
          <w:kern w:val="28"/>
        </w:rPr>
        <w:t>La responsabilité des Défenderesses pour du contenu publicitaire menant à une fraude pourrait être évaluée différemment.</w:t>
      </w:r>
    </w:p>
    <w:p w14:paraId="41E05C45" w14:textId="77777777" w:rsidR="00E34FF2" w:rsidRPr="00684D68" w:rsidRDefault="00B2678F" w:rsidP="00E34FF2">
      <w:pPr>
        <w:pStyle w:val="Paragrsimple"/>
        <w:numPr>
          <w:ilvl w:val="0"/>
          <w:numId w:val="1"/>
        </w:numPr>
        <w:tabs>
          <w:tab w:val="clear" w:pos="360"/>
        </w:tabs>
      </w:pPr>
      <w:r w:rsidRPr="00684D68">
        <w:t xml:space="preserve">Dans </w:t>
      </w:r>
      <w:r w:rsidRPr="00B66396">
        <w:rPr>
          <w:i/>
          <w:iCs/>
        </w:rPr>
        <w:t xml:space="preserve">Gauthier </w:t>
      </w:r>
      <w:r w:rsidRPr="005E2A8B">
        <w:t xml:space="preserve">c. </w:t>
      </w:r>
      <w:r w:rsidRPr="00B66396">
        <w:rPr>
          <w:i/>
          <w:iCs/>
        </w:rPr>
        <w:t>Facebook Canada Ltd.</w:t>
      </w:r>
      <w:r>
        <w:rPr>
          <w:rStyle w:val="Appelnotedebasdep"/>
          <w:lang w:val="en-CA"/>
        </w:rPr>
        <w:footnoteReference w:id="37"/>
      </w:r>
      <w:r w:rsidRPr="00684D68">
        <w:t>, la juge Lucas souligne</w:t>
      </w:r>
      <w:r w:rsidR="00A46CA6">
        <w:t> </w:t>
      </w:r>
      <w:r w:rsidRPr="00684D68">
        <w:t>:</w:t>
      </w:r>
    </w:p>
    <w:p w14:paraId="57409843" w14:textId="77777777" w:rsidR="00E34FF2" w:rsidRPr="00684D68" w:rsidRDefault="00B2678F" w:rsidP="00E34FF2">
      <w:pPr>
        <w:pStyle w:val="Citationenretrait"/>
      </w:pPr>
      <w:r w:rsidRPr="00684D68">
        <w:t>[78] En tout état de cause, dans l’action collective envisagée par les Demandeurs, c’est la responsabilité des Défenderesses à titre de «</w:t>
      </w:r>
      <w:r>
        <w:t> </w:t>
      </w:r>
      <w:r w:rsidRPr="00684D68">
        <w:t>publicitaire</w:t>
      </w:r>
      <w:r>
        <w:t> </w:t>
      </w:r>
      <w:r w:rsidRPr="00684D68">
        <w:t xml:space="preserve">» qui est en cause, à la lumière de faits démontrant a priori un certain contrôle des celles-ci sur les publicités reprochées. Rappelons qu’elles-mêmes mettent en preuve les Conditions d’utilisation et Politiques de Méta qui expliquent les règles publicitaires </w:t>
      </w:r>
      <w:r w:rsidRPr="00684D68">
        <w:lastRenderedPageBreak/>
        <w:t>vraisemblablement applicables en l’espèce, prévoyant un processus de révision explicité précédemment.</w:t>
      </w:r>
    </w:p>
    <w:p w14:paraId="641E156F" w14:textId="77777777" w:rsidR="00E34FF2" w:rsidRPr="00684D68" w:rsidRDefault="00B2678F" w:rsidP="00E34FF2">
      <w:pPr>
        <w:pStyle w:val="Citationenretrait"/>
      </w:pPr>
      <w:r w:rsidRPr="00684D68">
        <w:t xml:space="preserve">[79] </w:t>
      </w:r>
      <w:r>
        <w:t>A</w:t>
      </w:r>
      <w:r w:rsidRPr="00684D68">
        <w:t>insi, les Demandeurs peuvent raisonnablement prétendre que les Défenderesses n’agissent pas «</w:t>
      </w:r>
      <w:r>
        <w:t> </w:t>
      </w:r>
      <w:r w:rsidRPr="00684D68">
        <w:t>à titre d’intermédiaire</w:t>
      </w:r>
      <w:r>
        <w:t> </w:t>
      </w:r>
      <w:r w:rsidRPr="00684D68">
        <w:t xml:space="preserve">» puisqu’elles semblent transiger avec les tiers fraudeurs, réviser leurs publicités, les diffuser sur la plateforme Facebook, se réservant même le droit de les retirer. En tout état de cause, ce processus de révision paraît impliquer la connaissance des publicités diffusées et pourrait donc donner ouverture à engager la responsabilité des Défenderesses sous le deuxième alinéa de l’article 22 LTI. </w:t>
      </w:r>
    </w:p>
    <w:p w14:paraId="71292E05" w14:textId="77777777" w:rsidR="00E34FF2" w:rsidRDefault="00B2678F" w:rsidP="00E34FF2">
      <w:pPr>
        <w:numPr>
          <w:ilvl w:val="0"/>
          <w:numId w:val="1"/>
        </w:numPr>
        <w:spacing w:before="120" w:after="120"/>
        <w:jc w:val="both"/>
        <w:rPr>
          <w:kern w:val="28"/>
        </w:rPr>
      </w:pPr>
      <w:r>
        <w:rPr>
          <w:kern w:val="28"/>
        </w:rPr>
        <w:t>Rappelons que le modèle d’affaire</w:t>
      </w:r>
      <w:r w:rsidR="00A46CA6">
        <w:rPr>
          <w:kern w:val="28"/>
        </w:rPr>
        <w:t>s</w:t>
      </w:r>
      <w:r>
        <w:rPr>
          <w:kern w:val="28"/>
        </w:rPr>
        <w:t xml:space="preserve"> des Défenderesses repose en grande partie sur des publicités imposées aux utilisateurs. Ces publicités sont attrayantes pour les diffuseurs de publicités</w:t>
      </w:r>
      <w:r w:rsidR="002819FB">
        <w:rPr>
          <w:kern w:val="28"/>
        </w:rPr>
        <w:t>,</w:t>
      </w:r>
      <w:r>
        <w:rPr>
          <w:kern w:val="28"/>
        </w:rPr>
        <w:t xml:space="preserve"> puisque Facebook leur permet de cibler certains profils d’utilisateurs et leur fourni</w:t>
      </w:r>
      <w:r w:rsidR="002819FB">
        <w:rPr>
          <w:kern w:val="28"/>
        </w:rPr>
        <w:t>t</w:t>
      </w:r>
      <w:r>
        <w:rPr>
          <w:kern w:val="28"/>
        </w:rPr>
        <w:t xml:space="preserve"> des rapports sur la façon dont les utilisateurs réagissent à ces publicités. Compte tenu des nombreuses interactions </w:t>
      </w:r>
      <w:r w:rsidR="00A46CA6">
        <w:rPr>
          <w:kern w:val="28"/>
        </w:rPr>
        <w:t>entre les</w:t>
      </w:r>
      <w:r>
        <w:rPr>
          <w:kern w:val="28"/>
        </w:rPr>
        <w:t xml:space="preserve"> utilisateurs et des informations personnelles véhiculées dans </w:t>
      </w:r>
      <w:r w:rsidR="00A46CA6">
        <w:rPr>
          <w:kern w:val="28"/>
        </w:rPr>
        <w:t xml:space="preserve">leurs </w:t>
      </w:r>
      <w:r>
        <w:rPr>
          <w:kern w:val="28"/>
        </w:rPr>
        <w:t xml:space="preserve">messages, Facebook est en mesure de bâtir des profils fort détaillés </w:t>
      </w:r>
      <w:r w:rsidR="00A46CA6">
        <w:rPr>
          <w:kern w:val="28"/>
        </w:rPr>
        <w:t xml:space="preserve">pour </w:t>
      </w:r>
      <w:r>
        <w:rPr>
          <w:kern w:val="28"/>
        </w:rPr>
        <w:t>cha</w:t>
      </w:r>
      <w:r w:rsidR="00A46CA6">
        <w:rPr>
          <w:kern w:val="28"/>
        </w:rPr>
        <w:t>cun d’entre eux</w:t>
      </w:r>
      <w:r>
        <w:rPr>
          <w:kern w:val="28"/>
        </w:rPr>
        <w:t>.</w:t>
      </w:r>
    </w:p>
    <w:p w14:paraId="53D768D5" w14:textId="77777777" w:rsidR="00E34FF2" w:rsidRDefault="00B2678F" w:rsidP="00E34FF2">
      <w:pPr>
        <w:numPr>
          <w:ilvl w:val="0"/>
          <w:numId w:val="1"/>
        </w:numPr>
        <w:spacing w:before="120" w:after="120"/>
        <w:jc w:val="both"/>
        <w:rPr>
          <w:kern w:val="28"/>
        </w:rPr>
      </w:pPr>
      <w:r>
        <w:rPr>
          <w:kern w:val="28"/>
        </w:rPr>
        <w:t>Les conditions d’utilisation qui s’appliquent aux usagers de Facebook le confirment :</w:t>
      </w:r>
    </w:p>
    <w:p w14:paraId="09DD8654" w14:textId="77777777" w:rsidR="00E34FF2" w:rsidRDefault="00B2678F" w:rsidP="00E34FF2">
      <w:pPr>
        <w:pStyle w:val="Citationenretrait"/>
      </w:pPr>
      <w:r w:rsidRPr="00ED666E">
        <w:t>Nous ne vous facturons rien pour utiliser Facebook ni les autres</w:t>
      </w:r>
      <w:r>
        <w:t xml:space="preserve"> </w:t>
      </w:r>
      <w:r w:rsidRPr="00ED666E">
        <w:t>produits et services régis par les présentes Conditions, sauf</w:t>
      </w:r>
      <w:r>
        <w:t xml:space="preserve"> </w:t>
      </w:r>
      <w:r w:rsidRPr="00ED666E">
        <w:t>indication contraire. Au lieu de cela, des entreprises, des</w:t>
      </w:r>
      <w:r>
        <w:t xml:space="preserve"> </w:t>
      </w:r>
      <w:r w:rsidRPr="00ED666E">
        <w:t>organisations et d’autres personnes nous paient pour diffuser des</w:t>
      </w:r>
      <w:r>
        <w:t xml:space="preserve"> </w:t>
      </w:r>
      <w:r w:rsidRPr="00ED666E">
        <w:t>publicités qui portent sur leurs produits ou leurs services. En</w:t>
      </w:r>
      <w:r>
        <w:t xml:space="preserve"> </w:t>
      </w:r>
      <w:r w:rsidRPr="00ED666E">
        <w:t>utilisant nos produits, vous acceptez que nous vous montrions des</w:t>
      </w:r>
      <w:r>
        <w:t xml:space="preserve"> </w:t>
      </w:r>
      <w:r w:rsidRPr="00ED666E">
        <w:t>publicités qui correspondent, selon nous, à vos centres d’intérêt.</w:t>
      </w:r>
      <w:r>
        <w:t xml:space="preserve"> </w:t>
      </w:r>
      <w:r w:rsidRPr="00ED666E">
        <w:t>Nous nous servons de vos données personnelles pour déterminer</w:t>
      </w:r>
      <w:r>
        <w:t xml:space="preserve"> </w:t>
      </w:r>
      <w:r w:rsidRPr="00ED666E">
        <w:t>quelles publicités personnalisées vous montrer.</w:t>
      </w:r>
    </w:p>
    <w:p w14:paraId="1276FAEB" w14:textId="77777777" w:rsidR="00E34FF2" w:rsidRDefault="00B2678F" w:rsidP="00E34FF2">
      <w:pPr>
        <w:pStyle w:val="Citationenretrait"/>
      </w:pPr>
      <w:r>
        <w:t xml:space="preserve">Nous ne vendons pas vos données personnelles aux annonceurs </w:t>
      </w:r>
      <w:r>
        <w:rPr>
          <w:rFonts w:cs="Arial"/>
        </w:rPr>
        <w:t>[…]</w:t>
      </w:r>
      <w:r>
        <w:t>. Au lieu de cela, les annonceurs peuvent nous renseigner sur des choses comme le genre d’audience qu’ils veulent cibler. Ensuite, nous montrons leurs publicités à des personnes qui pourraient être intéressées. Nous fournissons aux annonceurs des rapports sur le rendement de leurs publicités qui les aident à comprendre comment les gens interagissent avec leur contenu</w:t>
      </w:r>
      <w:r>
        <w:rPr>
          <w:rStyle w:val="Appelnotedebasdep"/>
        </w:rPr>
        <w:footnoteReference w:id="38"/>
      </w:r>
      <w:r>
        <w:t>.</w:t>
      </w:r>
    </w:p>
    <w:p w14:paraId="7984B7E6" w14:textId="77777777" w:rsidR="00E34FF2" w:rsidRDefault="00B2678F" w:rsidP="00E34FF2">
      <w:pPr>
        <w:numPr>
          <w:ilvl w:val="0"/>
          <w:numId w:val="1"/>
        </w:numPr>
        <w:spacing w:before="120" w:after="120"/>
        <w:jc w:val="both"/>
        <w:rPr>
          <w:kern w:val="28"/>
        </w:rPr>
      </w:pPr>
      <w:r>
        <w:rPr>
          <w:kern w:val="28"/>
        </w:rPr>
        <w:t>Par ailleurs, les Défenderesses s’engagent à faire les efforts nécessaires pour promouvoir un environnement sécuritaire :</w:t>
      </w:r>
    </w:p>
    <w:p w14:paraId="738FEB09" w14:textId="77777777" w:rsidR="00E34FF2" w:rsidRPr="00A02886" w:rsidRDefault="00B2678F" w:rsidP="00E34FF2">
      <w:pPr>
        <w:pStyle w:val="Citationenretrait"/>
        <w:rPr>
          <w:b/>
          <w:bCs/>
        </w:rPr>
      </w:pPr>
      <w:r w:rsidRPr="00A02886">
        <w:rPr>
          <w:b/>
          <w:bCs/>
        </w:rPr>
        <w:t>Promouvoir la sécurité et l’intégrité de nos services, lutter contre les comportements néfastes et protéger notre communauté d’utilisateurs :</w:t>
      </w:r>
    </w:p>
    <w:p w14:paraId="7338BB77" w14:textId="77777777" w:rsidR="00E34FF2" w:rsidRDefault="00B2678F" w:rsidP="00E34FF2">
      <w:pPr>
        <w:pStyle w:val="Citationenretrait"/>
      </w:pPr>
      <w:r>
        <w:t xml:space="preserve">Se sentir en sécurité est primordial pour bâtir une communauté sur les produits Meta. Nous travaillons fort pour maintenir la sécurité (la disponibilité, l’authenticité, l’intégrité, la confidentialité, etc.) de nos produits et de nos services. Nous </w:t>
      </w:r>
      <w:r>
        <w:lastRenderedPageBreak/>
        <w:t>employons des équipes dédiées à travers le monde, travaillons avec des fournisseurs de services externes, des partenaires et d’autres entités utiles et bâtissons des systèmes techniques de pointe pour détecter les mauvaises utilisations de nos produits, les comportements nuisibles à l’égard d’autrui et les situations où nous pouvons soutenir ou protéger notre communauté, par exemple en répondant aux signalements de nos utilisateurs par rapport à du contenu potentiellement interdit. Si nous prenons connaissance de ce genre de contenu, nous pouvons prendre des mesures adéquates selon le cas : vous aviser, offrir de l’assistance, supprimer le contenu, retirer ou restreindre l’accès à certaines fonctionnalités, désactiver le compte, voire contacter les autorités.</w:t>
      </w:r>
    </w:p>
    <w:p w14:paraId="627CC687" w14:textId="77777777" w:rsidR="00E34FF2" w:rsidRDefault="00B2678F" w:rsidP="00E34FF2">
      <w:pPr>
        <w:pStyle w:val="Citationenretrait"/>
        <w:rPr>
          <w:rFonts w:cs="Arial"/>
        </w:rPr>
      </w:pPr>
      <w:r>
        <w:rPr>
          <w:rFonts w:cs="Arial"/>
        </w:rPr>
        <w:t>[…]</w:t>
      </w:r>
    </w:p>
    <w:p w14:paraId="67D92473" w14:textId="77777777" w:rsidR="00E34FF2" w:rsidRPr="00A02886" w:rsidRDefault="00B2678F" w:rsidP="00E34FF2">
      <w:pPr>
        <w:pStyle w:val="Citationenretrait"/>
        <w:rPr>
          <w:rFonts w:cs="Arial"/>
          <w:b/>
          <w:bCs/>
        </w:rPr>
      </w:pPr>
      <w:r w:rsidRPr="00A02886">
        <w:rPr>
          <w:rFonts w:cs="Arial"/>
          <w:b/>
          <w:bCs/>
        </w:rPr>
        <w:t>Utiliser et développer des technologies avancées pour fournir des services sécuritaires et fonctionnels à tout le monde</w:t>
      </w:r>
      <w:r>
        <w:rPr>
          <w:rFonts w:cs="Arial"/>
          <w:b/>
          <w:bCs/>
        </w:rPr>
        <w:t> :</w:t>
      </w:r>
    </w:p>
    <w:p w14:paraId="10582FD7" w14:textId="77777777" w:rsidR="00E34FF2" w:rsidRDefault="00B2678F" w:rsidP="00E34FF2">
      <w:pPr>
        <w:pStyle w:val="Citationenretrait"/>
        <w:rPr>
          <w:rFonts w:cs="Arial"/>
        </w:rPr>
      </w:pPr>
      <w:r w:rsidRPr="00A02886">
        <w:rPr>
          <w:rFonts w:cs="Arial"/>
        </w:rPr>
        <w:t>Nous utilisons et développons des technologies sophistiquées (comme</w:t>
      </w:r>
      <w:r>
        <w:rPr>
          <w:rFonts w:cs="Arial"/>
        </w:rPr>
        <w:t xml:space="preserve"> </w:t>
      </w:r>
      <w:r w:rsidRPr="00A02886">
        <w:rPr>
          <w:rFonts w:cs="Arial"/>
        </w:rPr>
        <w:t>l’intelligence artificielle, des systèmes d’apprentissage automatique et la</w:t>
      </w:r>
      <w:r>
        <w:rPr>
          <w:rFonts w:cs="Arial"/>
        </w:rPr>
        <w:t xml:space="preserve"> </w:t>
      </w:r>
      <w:r w:rsidRPr="00A02886">
        <w:rPr>
          <w:rFonts w:cs="Arial"/>
        </w:rPr>
        <w:t>réalité augmentée) pour qu’on puisse utiliser nos produits en toute</w:t>
      </w:r>
      <w:r>
        <w:rPr>
          <w:rFonts w:cs="Arial"/>
        </w:rPr>
        <w:t xml:space="preserve"> </w:t>
      </w:r>
      <w:r w:rsidRPr="00A02886">
        <w:rPr>
          <w:rFonts w:cs="Arial"/>
        </w:rPr>
        <w:t>sécurité</w:t>
      </w:r>
      <w:r>
        <w:rPr>
          <w:rFonts w:cs="Arial"/>
        </w:rPr>
        <w:t xml:space="preserve"> […]</w:t>
      </w:r>
    </w:p>
    <w:p w14:paraId="222FF957" w14:textId="77777777" w:rsidR="00E34FF2" w:rsidRDefault="00B2678F" w:rsidP="00E34FF2">
      <w:pPr>
        <w:pStyle w:val="Citationenretrait"/>
      </w:pPr>
      <w:r w:rsidRPr="00A02886">
        <w:rPr>
          <w:rFonts w:cs="Arial"/>
        </w:rPr>
        <w:t>Nous</w:t>
      </w:r>
      <w:r>
        <w:rPr>
          <w:rFonts w:cs="Arial"/>
        </w:rPr>
        <w:t xml:space="preserve"> </w:t>
      </w:r>
      <w:r w:rsidRPr="00A02886">
        <w:rPr>
          <w:rFonts w:cs="Arial"/>
        </w:rPr>
        <w:t>bâtissons également des systèmes automatisés pour améliorer notre</w:t>
      </w:r>
      <w:r>
        <w:rPr>
          <w:rFonts w:cs="Arial"/>
        </w:rPr>
        <w:t xml:space="preserve"> </w:t>
      </w:r>
      <w:r w:rsidRPr="00A02886">
        <w:rPr>
          <w:rFonts w:cs="Arial"/>
        </w:rPr>
        <w:t>capacité à détecter et à supprimer les activités abusives et dangereuses</w:t>
      </w:r>
      <w:r>
        <w:rPr>
          <w:rFonts w:cs="Arial"/>
        </w:rPr>
        <w:t xml:space="preserve"> </w:t>
      </w:r>
      <w:r w:rsidRPr="00A02886">
        <w:rPr>
          <w:rFonts w:cs="Arial"/>
        </w:rPr>
        <w:t>qui pourraient porter atteinte à notre communauté et à l’intégrité de nos</w:t>
      </w:r>
      <w:r>
        <w:rPr>
          <w:rFonts w:cs="Arial"/>
        </w:rPr>
        <w:t xml:space="preserve"> </w:t>
      </w:r>
      <w:r w:rsidRPr="00A02886">
        <w:rPr>
          <w:rFonts w:cs="Arial"/>
        </w:rPr>
        <w:t>produits</w:t>
      </w:r>
      <w:r>
        <w:rPr>
          <w:rStyle w:val="Appelnotedebasdep"/>
          <w:rFonts w:cs="Arial"/>
        </w:rPr>
        <w:footnoteReference w:id="39"/>
      </w:r>
      <w:r>
        <w:rPr>
          <w:rFonts w:cs="Arial"/>
        </w:rPr>
        <w:t>.</w:t>
      </w:r>
    </w:p>
    <w:p w14:paraId="257D34DB" w14:textId="77777777" w:rsidR="00E34FF2" w:rsidRDefault="00B2678F" w:rsidP="00E34FF2">
      <w:pPr>
        <w:numPr>
          <w:ilvl w:val="0"/>
          <w:numId w:val="1"/>
        </w:numPr>
        <w:spacing w:before="120" w:after="120"/>
        <w:jc w:val="both"/>
        <w:rPr>
          <w:kern w:val="28"/>
        </w:rPr>
      </w:pPr>
      <w:r w:rsidRPr="00F2491A">
        <w:rPr>
          <w:kern w:val="28"/>
        </w:rPr>
        <w:t xml:space="preserve">Des règles </w:t>
      </w:r>
      <w:r>
        <w:rPr>
          <w:kern w:val="28"/>
        </w:rPr>
        <w:t xml:space="preserve">particulières sont </w:t>
      </w:r>
      <w:r w:rsidRPr="00F2491A">
        <w:rPr>
          <w:kern w:val="28"/>
        </w:rPr>
        <w:t>impos</w:t>
      </w:r>
      <w:r>
        <w:rPr>
          <w:kern w:val="28"/>
        </w:rPr>
        <w:t>ées</w:t>
      </w:r>
      <w:r w:rsidRPr="00F2491A">
        <w:rPr>
          <w:kern w:val="28"/>
        </w:rPr>
        <w:t xml:space="preserve"> aux diffuseurs de contenu publicitaire</w:t>
      </w:r>
      <w:r>
        <w:rPr>
          <w:kern w:val="28"/>
        </w:rPr>
        <w:t>.</w:t>
      </w:r>
    </w:p>
    <w:p w14:paraId="4F617C84" w14:textId="77777777" w:rsidR="00E34FF2" w:rsidRDefault="00B2678F" w:rsidP="00E34FF2">
      <w:pPr>
        <w:pStyle w:val="Paragrsimple"/>
        <w:numPr>
          <w:ilvl w:val="0"/>
          <w:numId w:val="1"/>
        </w:numPr>
        <w:tabs>
          <w:tab w:val="clear" w:pos="360"/>
        </w:tabs>
      </w:pPr>
      <w:r w:rsidRPr="006F72B3">
        <w:t>D’une part</w:t>
      </w:r>
      <w:r>
        <w:t>, des conditions commerciales</w:t>
      </w:r>
      <w:r>
        <w:rPr>
          <w:rStyle w:val="Appelnotedebasdep"/>
        </w:rPr>
        <w:footnoteReference w:id="40"/>
      </w:r>
      <w:r>
        <w:t xml:space="preserve"> s’appliquent à l’accès ou à l’utilisation des produits de Meta à des fins professionnelles ou commerciales</w:t>
      </w:r>
      <w:r w:rsidR="00A46CA6">
        <w:t>,</w:t>
      </w:r>
      <w:r>
        <w:t xml:space="preserve"> incluant l’utilisation de publicités.</w:t>
      </w:r>
      <w:r w:rsidRPr="00D42121">
        <w:t xml:space="preserve"> </w:t>
      </w:r>
      <w:r>
        <w:t>En vertu de ces règles, un utilisateur commercial s’engage à respecter l’ensemble des lois, règles et réglementations applicables.</w:t>
      </w:r>
    </w:p>
    <w:p w14:paraId="69F2AE50" w14:textId="77777777" w:rsidR="00E34FF2" w:rsidRDefault="00B2678F" w:rsidP="00E34FF2">
      <w:pPr>
        <w:pStyle w:val="Paragrsimple"/>
        <w:numPr>
          <w:ilvl w:val="0"/>
          <w:numId w:val="1"/>
        </w:numPr>
        <w:tabs>
          <w:tab w:val="clear" w:pos="360"/>
        </w:tabs>
      </w:pPr>
      <w:r>
        <w:t>D’autre part, les Défenderesses publient des standards publicitaires</w:t>
      </w:r>
      <w:r>
        <w:rPr>
          <w:rStyle w:val="Appelnotedebasdep"/>
        </w:rPr>
        <w:footnoteReference w:id="41"/>
      </w:r>
      <w:r>
        <w:t xml:space="preserve"> (les « </w:t>
      </w:r>
      <w:r w:rsidRPr="00D522F3">
        <w:rPr>
          <w:b/>
          <w:bCs/>
        </w:rPr>
        <w:t>Standards publicitaires</w:t>
      </w:r>
      <w:r>
        <w:t xml:space="preserve"> ») qui « fournissent des conseils sur les types de contenu publicitaire autorisés sur </w:t>
      </w:r>
      <w:r w:rsidRPr="00D522F3">
        <w:rPr>
          <w:rFonts w:cs="Arial"/>
        </w:rPr>
        <w:t>[leurs]</w:t>
      </w:r>
      <w:r>
        <w:t xml:space="preserve"> plateformes ». Ces Standards publicitaires mentionnent spécifiquement que « chaque publicité est examinée par rapport à nos règles »</w:t>
      </w:r>
      <w:r>
        <w:rPr>
          <w:rStyle w:val="Appelnotedebasdep"/>
        </w:rPr>
        <w:footnoteReference w:id="42"/>
      </w:r>
      <w:r>
        <w:t>.</w:t>
      </w:r>
    </w:p>
    <w:p w14:paraId="1E163584" w14:textId="77777777" w:rsidR="00E34FF2" w:rsidRDefault="00B2678F" w:rsidP="00E34FF2">
      <w:pPr>
        <w:pStyle w:val="Paragrsimple"/>
        <w:numPr>
          <w:ilvl w:val="0"/>
          <w:numId w:val="1"/>
        </w:numPr>
        <w:tabs>
          <w:tab w:val="clear" w:pos="360"/>
        </w:tabs>
      </w:pPr>
      <w:r>
        <w:t>Les Défenderesses se réservent le droit de retirer toute publicité qui enfreint les règles</w:t>
      </w:r>
      <w:r>
        <w:rPr>
          <w:rStyle w:val="Appelnotedebasdep"/>
        </w:rPr>
        <w:footnoteReference w:id="43"/>
      </w:r>
      <w:r>
        <w:t>.</w:t>
      </w:r>
    </w:p>
    <w:p w14:paraId="550FC57F" w14:textId="77777777" w:rsidR="00E34FF2" w:rsidRDefault="00B2678F" w:rsidP="00E34FF2">
      <w:pPr>
        <w:pStyle w:val="Paragrsimple"/>
        <w:numPr>
          <w:ilvl w:val="0"/>
          <w:numId w:val="1"/>
        </w:numPr>
        <w:tabs>
          <w:tab w:val="clear" w:pos="360"/>
        </w:tabs>
      </w:pPr>
      <w:r>
        <w:t>Parmi ces règles, on retrouve :</w:t>
      </w:r>
    </w:p>
    <w:p w14:paraId="591869FC" w14:textId="77777777" w:rsidR="00E34FF2" w:rsidRDefault="00B2678F" w:rsidP="00E34FF2">
      <w:pPr>
        <w:pStyle w:val="Sous-paragraphe"/>
        <w:numPr>
          <w:ilvl w:val="1"/>
          <w:numId w:val="1"/>
        </w:numPr>
        <w:tabs>
          <w:tab w:val="clear" w:pos="1000"/>
          <w:tab w:val="num" w:pos="1701"/>
        </w:tabs>
        <w:ind w:left="1701" w:hanging="992"/>
      </w:pPr>
      <w:r>
        <w:t>L’interdiction de rediriger les utilisateurs vers une page de destination « qui ne correspond pas au produit ou service affiché dans la publicité »</w:t>
      </w:r>
      <w:r>
        <w:rPr>
          <w:rStyle w:val="Appelnotedebasdep"/>
        </w:rPr>
        <w:footnoteReference w:id="44"/>
      </w:r>
      <w:r w:rsidR="00C452B9">
        <w:t>.</w:t>
      </w:r>
    </w:p>
    <w:p w14:paraId="18A6C204" w14:textId="77777777" w:rsidR="00E34FF2" w:rsidRDefault="00B2678F" w:rsidP="00E34FF2">
      <w:pPr>
        <w:pStyle w:val="Sous-paragraphe"/>
        <w:numPr>
          <w:ilvl w:val="1"/>
          <w:numId w:val="1"/>
        </w:numPr>
        <w:tabs>
          <w:tab w:val="clear" w:pos="1000"/>
          <w:tab w:val="num" w:pos="1701"/>
        </w:tabs>
        <w:ind w:left="1701" w:hanging="992"/>
      </w:pPr>
      <w:r>
        <w:t>L’interdiction de renvoyer à des pages de destination externes en utilisant des publicités trompeuses comprenant des titres sensationnels, incitant l'audience à interagir avec la publicité de manière non authentique ou la redirigeant vers des pages de destination contenant peu de contenu original pour une majorité de contenus publicitaires hors de propos ou de mauvaise qualité</w:t>
      </w:r>
      <w:r>
        <w:rPr>
          <w:rStyle w:val="Appelnotedebasdep"/>
        </w:rPr>
        <w:footnoteReference w:id="45"/>
      </w:r>
      <w:r>
        <w:t>.</w:t>
      </w:r>
    </w:p>
    <w:p w14:paraId="506DC248" w14:textId="77777777" w:rsidR="00E34FF2" w:rsidRDefault="00B2678F" w:rsidP="00E34FF2">
      <w:pPr>
        <w:pStyle w:val="Paragrsimple"/>
        <w:numPr>
          <w:ilvl w:val="0"/>
          <w:numId w:val="1"/>
        </w:numPr>
        <w:tabs>
          <w:tab w:val="clear" w:pos="360"/>
        </w:tabs>
      </w:pPr>
      <w:r w:rsidRPr="001D72C9">
        <w:t>Les Standards publicitaires incorporent par référence les standards de la communauté</w:t>
      </w:r>
      <w:r>
        <w:rPr>
          <w:rStyle w:val="Appelnotedebasdep"/>
        </w:rPr>
        <w:footnoteReference w:id="46"/>
      </w:r>
      <w:r>
        <w:t xml:space="preserve"> qui interdisent les promesses de gain irréalistes :</w:t>
      </w:r>
      <w:r w:rsidRPr="001D72C9">
        <w:t xml:space="preserve"> </w:t>
      </w:r>
    </w:p>
    <w:p w14:paraId="1DC33227" w14:textId="77777777" w:rsidR="00E34FF2" w:rsidRPr="00D038DA" w:rsidRDefault="00B2678F" w:rsidP="00E34FF2">
      <w:pPr>
        <w:pStyle w:val="Citationenretrait"/>
        <w:rPr>
          <w:lang w:val="en-CA"/>
        </w:rPr>
      </w:pPr>
      <w:r w:rsidRPr="001D72C9">
        <w:rPr>
          <w:i/>
          <w:iCs/>
          <w:lang w:val="en-CA"/>
        </w:rPr>
        <w:t xml:space="preserve">Do not post content that </w:t>
      </w:r>
      <w:r w:rsidRPr="001D72C9">
        <w:rPr>
          <w:rFonts w:cs="Arial"/>
          <w:i/>
          <w:iCs/>
          <w:lang w:val="en-CA"/>
        </w:rPr>
        <w:t>[</w:t>
      </w:r>
      <w:r w:rsidRPr="001D72C9">
        <w:rPr>
          <w:i/>
          <w:iCs/>
          <w:lang w:val="en-CA"/>
        </w:rPr>
        <w:t>…</w:t>
      </w:r>
      <w:r w:rsidRPr="001D72C9">
        <w:rPr>
          <w:rFonts w:cs="Arial"/>
          <w:i/>
          <w:iCs/>
          <w:lang w:val="en-CA"/>
        </w:rPr>
        <w:t>]</w:t>
      </w:r>
      <w:r w:rsidRPr="001D72C9">
        <w:rPr>
          <w:i/>
          <w:iCs/>
          <w:lang w:val="en-CA"/>
        </w:rPr>
        <w:t xml:space="preserve"> deceives others to generate a financial or personal benefit, including investment scams with promise of high rates of return […]</w:t>
      </w:r>
      <w:r>
        <w:rPr>
          <w:i/>
          <w:iCs/>
          <w:lang w:val="en-CA"/>
        </w:rPr>
        <w:t>.</w:t>
      </w:r>
      <w:r>
        <w:rPr>
          <w:rStyle w:val="Appelnotedebasdep"/>
        </w:rPr>
        <w:footnoteReference w:id="47"/>
      </w:r>
    </w:p>
    <w:p w14:paraId="6467CE85" w14:textId="77777777" w:rsidR="00E34FF2" w:rsidRDefault="00B2678F" w:rsidP="00E34FF2">
      <w:pPr>
        <w:pStyle w:val="Paragrsimple"/>
        <w:numPr>
          <w:ilvl w:val="0"/>
          <w:numId w:val="1"/>
        </w:numPr>
        <w:tabs>
          <w:tab w:val="clear" w:pos="360"/>
        </w:tabs>
      </w:pPr>
      <w:r>
        <w:t>Les Défenderesses mentionnent que ces politiques visent</w:t>
      </w:r>
      <w:r w:rsidR="00C452B9">
        <w:t>,</w:t>
      </w:r>
      <w:r>
        <w:t xml:space="preserve"> entre autres</w:t>
      </w:r>
      <w:r w:rsidR="00C452B9">
        <w:t>,</w:t>
      </w:r>
      <w:r>
        <w:t xml:space="preserve"> à protéger les utilisateurs contre la fraude et les arnaques</w:t>
      </w:r>
      <w:r>
        <w:rPr>
          <w:rStyle w:val="Appelnotedebasdep"/>
        </w:rPr>
        <w:footnoteReference w:id="48"/>
      </w:r>
      <w:r>
        <w:t>. D’ailleurs, les Défenderesses mentionnent spécifiquement qu’elles retireront du contenu visant à frauder les utilisateurs :</w:t>
      </w:r>
    </w:p>
    <w:p w14:paraId="7D6AA1AC" w14:textId="77777777" w:rsidR="00E34FF2" w:rsidRPr="004176F5" w:rsidRDefault="00B2678F" w:rsidP="00E34FF2">
      <w:pPr>
        <w:pStyle w:val="Citationenretrait"/>
        <w:rPr>
          <w:i/>
          <w:iCs/>
          <w:lang w:val="en-CA"/>
        </w:rPr>
      </w:pPr>
      <w:r w:rsidRPr="004176F5">
        <w:rPr>
          <w:i/>
          <w:iCs/>
          <w:lang w:val="en-CA"/>
        </w:rPr>
        <w:t xml:space="preserve">We remove content and action on behaviors which intend to defraud users or third parties </w:t>
      </w:r>
      <w:r w:rsidRPr="004176F5">
        <w:rPr>
          <w:rFonts w:cs="Arial"/>
          <w:i/>
          <w:iCs/>
          <w:lang w:val="en-CA"/>
        </w:rPr>
        <w:t>[…]</w:t>
      </w:r>
      <w:r>
        <w:rPr>
          <w:rStyle w:val="Appelnotedebasdep"/>
          <w:rFonts w:cs="Arial"/>
          <w:i/>
          <w:iCs/>
          <w:lang w:val="en-CA"/>
        </w:rPr>
        <w:footnoteReference w:id="49"/>
      </w:r>
    </w:p>
    <w:p w14:paraId="7EC9501F" w14:textId="77777777" w:rsidR="00E34FF2" w:rsidRDefault="00B2678F" w:rsidP="00E34FF2">
      <w:pPr>
        <w:numPr>
          <w:ilvl w:val="0"/>
          <w:numId w:val="1"/>
        </w:numPr>
        <w:spacing w:before="120" w:after="120"/>
        <w:jc w:val="both"/>
        <w:rPr>
          <w:kern w:val="28"/>
        </w:rPr>
      </w:pPr>
      <w:r>
        <w:rPr>
          <w:kern w:val="28"/>
        </w:rPr>
        <w:t>Finalement, les Défenderesses plaident qu’elles ne peuvent être tenues responsables de contenu publié sur des pages externes.</w:t>
      </w:r>
    </w:p>
    <w:p w14:paraId="0C13B338" w14:textId="77777777" w:rsidR="00E34FF2" w:rsidRDefault="00B2678F" w:rsidP="00E34FF2">
      <w:pPr>
        <w:numPr>
          <w:ilvl w:val="0"/>
          <w:numId w:val="1"/>
        </w:numPr>
        <w:spacing w:before="120" w:after="120"/>
        <w:jc w:val="both"/>
        <w:rPr>
          <w:kern w:val="28"/>
        </w:rPr>
      </w:pPr>
      <w:r>
        <w:rPr>
          <w:kern w:val="28"/>
        </w:rPr>
        <w:t xml:space="preserve">Or, même s’il est vrai que les Défenderesses n’ont pas le pouvoir de modifier du contenu qui n’est pas hébergé sur leurs serveurs, elles sont néanmoins en position de vérifier le contenu des pages référencées. </w:t>
      </w:r>
    </w:p>
    <w:p w14:paraId="6ACF2BDB" w14:textId="77777777" w:rsidR="00E34FF2" w:rsidRDefault="00B2678F" w:rsidP="00E34FF2">
      <w:pPr>
        <w:pStyle w:val="Paragrsimple"/>
        <w:numPr>
          <w:ilvl w:val="0"/>
          <w:numId w:val="1"/>
        </w:numPr>
        <w:tabs>
          <w:tab w:val="clear" w:pos="360"/>
        </w:tabs>
      </w:pPr>
      <w:r>
        <w:t xml:space="preserve">Les Standards publicitaires confirment </w:t>
      </w:r>
      <w:r w:rsidR="00BD1ADE">
        <w:t xml:space="preserve">d’ailleurs </w:t>
      </w:r>
      <w:r>
        <w:t>que les liens externes sont vérifiés :</w:t>
      </w:r>
    </w:p>
    <w:p w14:paraId="28D25976" w14:textId="77777777" w:rsidR="00E34FF2" w:rsidRPr="00856A3C" w:rsidRDefault="00B2678F" w:rsidP="00E34FF2">
      <w:pPr>
        <w:pStyle w:val="Citationenretrait"/>
        <w:rPr>
          <w:i/>
          <w:iCs/>
          <w:lang w:val="en-CA"/>
        </w:rPr>
      </w:pPr>
      <w:r w:rsidRPr="00856A3C">
        <w:rPr>
          <w:i/>
          <w:iCs/>
          <w:lang w:val="en-CA"/>
        </w:rPr>
        <w:t>The ad review system reviews ads for violations of our policies. This review process may include the specific components of an ad, such as images, video, text and targeting information, as well as an ad’s associated landing page or other destinations, among other information.</w:t>
      </w:r>
      <w:r>
        <w:rPr>
          <w:rStyle w:val="Appelnotedebasdep"/>
          <w:i/>
          <w:iCs/>
          <w:lang w:val="en-CA"/>
        </w:rPr>
        <w:footnoteReference w:id="50"/>
      </w:r>
    </w:p>
    <w:p w14:paraId="28BEC2BC" w14:textId="77777777" w:rsidR="00E34FF2" w:rsidRDefault="00B2678F" w:rsidP="00E34FF2">
      <w:pPr>
        <w:numPr>
          <w:ilvl w:val="0"/>
          <w:numId w:val="1"/>
        </w:numPr>
        <w:spacing w:before="120" w:after="120"/>
        <w:jc w:val="both"/>
        <w:rPr>
          <w:kern w:val="28"/>
        </w:rPr>
      </w:pPr>
      <w:r>
        <w:rPr>
          <w:kern w:val="28"/>
        </w:rPr>
        <w:t>Ici, une simple consultation permet de voir facilement que les articles sont faux et constituent un appât (</w:t>
      </w:r>
      <w:r w:rsidRPr="00EB0585">
        <w:rPr>
          <w:i/>
          <w:iCs/>
          <w:kern w:val="28"/>
        </w:rPr>
        <w:t>click bait</w:t>
      </w:r>
      <w:r>
        <w:rPr>
          <w:kern w:val="28"/>
        </w:rPr>
        <w:t>).</w:t>
      </w:r>
    </w:p>
    <w:p w14:paraId="394168FC" w14:textId="77777777" w:rsidR="00E34FF2" w:rsidRDefault="00B2678F" w:rsidP="00E34FF2">
      <w:pPr>
        <w:numPr>
          <w:ilvl w:val="0"/>
          <w:numId w:val="1"/>
        </w:numPr>
        <w:spacing w:before="120" w:after="120"/>
        <w:jc w:val="both"/>
        <w:rPr>
          <w:kern w:val="28"/>
        </w:rPr>
      </w:pPr>
      <w:r>
        <w:rPr>
          <w:kern w:val="28"/>
        </w:rPr>
        <w:t xml:space="preserve">Il est également utile de rappeler qu’en réaction à l’encontre de la </w:t>
      </w:r>
      <w:r w:rsidRPr="00EB0585">
        <w:rPr>
          <w:i/>
          <w:iCs/>
          <w:kern w:val="28"/>
        </w:rPr>
        <w:t>Loi sur les nouvelles en ligne</w:t>
      </w:r>
      <w:r w:rsidRPr="00EB0585">
        <w:rPr>
          <w:kern w:val="28"/>
        </w:rPr>
        <w:t xml:space="preserve"> (projet de loi C-18)</w:t>
      </w:r>
      <w:r>
        <w:rPr>
          <w:kern w:val="28"/>
        </w:rPr>
        <w:t xml:space="preserve"> en août 2023, les Défenderesses ont </w:t>
      </w:r>
      <w:r w:rsidRPr="00EB0585">
        <w:rPr>
          <w:kern w:val="28"/>
        </w:rPr>
        <w:t>choisi de rendre impossible le partage de nouvelles sur ses plateformes au Canada</w:t>
      </w:r>
      <w:r>
        <w:rPr>
          <w:kern w:val="28"/>
        </w:rPr>
        <w:t>.</w:t>
      </w:r>
    </w:p>
    <w:p w14:paraId="1D65585A" w14:textId="77777777" w:rsidR="00E34FF2" w:rsidRDefault="00B2678F" w:rsidP="00E34FF2">
      <w:pPr>
        <w:numPr>
          <w:ilvl w:val="0"/>
          <w:numId w:val="1"/>
        </w:numPr>
        <w:spacing w:before="120" w:after="120"/>
        <w:jc w:val="both"/>
        <w:rPr>
          <w:kern w:val="28"/>
        </w:rPr>
      </w:pPr>
      <w:r>
        <w:rPr>
          <w:kern w:val="28"/>
        </w:rPr>
        <w:t xml:space="preserve">À tout événement, les Défenderesses pourraient </w:t>
      </w:r>
      <w:r w:rsidR="00B72EAA">
        <w:rPr>
          <w:kern w:val="28"/>
        </w:rPr>
        <w:t>se demander quelles sont les raisons qui poussent</w:t>
      </w:r>
      <w:r>
        <w:rPr>
          <w:kern w:val="28"/>
        </w:rPr>
        <w:t xml:space="preserve"> </w:t>
      </w:r>
      <w:r w:rsidR="00B72EAA">
        <w:rPr>
          <w:kern w:val="28"/>
        </w:rPr>
        <w:t>une personne</w:t>
      </w:r>
      <w:r>
        <w:rPr>
          <w:kern w:val="28"/>
        </w:rPr>
        <w:t xml:space="preserve"> </w:t>
      </w:r>
      <w:r w:rsidR="00B72EAA">
        <w:rPr>
          <w:kern w:val="28"/>
        </w:rPr>
        <w:t>à</w:t>
      </w:r>
      <w:r>
        <w:rPr>
          <w:kern w:val="28"/>
        </w:rPr>
        <w:t xml:space="preserve"> payer p</w:t>
      </w:r>
      <w:r w:rsidR="00B72EAA">
        <w:rPr>
          <w:kern w:val="28"/>
        </w:rPr>
        <w:t xml:space="preserve">our la mise en </w:t>
      </w:r>
      <w:r>
        <w:rPr>
          <w:kern w:val="28"/>
        </w:rPr>
        <w:t>ligne un article de journal.</w:t>
      </w:r>
    </w:p>
    <w:p w14:paraId="53FB2F23" w14:textId="77777777" w:rsidR="00E34FF2" w:rsidRDefault="00B2678F" w:rsidP="00E34FF2">
      <w:pPr>
        <w:numPr>
          <w:ilvl w:val="0"/>
          <w:numId w:val="1"/>
        </w:numPr>
        <w:spacing w:before="120" w:after="120"/>
        <w:jc w:val="both"/>
        <w:rPr>
          <w:kern w:val="28"/>
        </w:rPr>
      </w:pPr>
      <w:r>
        <w:rPr>
          <w:kern w:val="28"/>
        </w:rPr>
        <w:t>Ces faits jumelés à l’allégation que les Défenderesses ont été avisé</w:t>
      </w:r>
      <w:r w:rsidR="002819FB">
        <w:rPr>
          <w:kern w:val="28"/>
        </w:rPr>
        <w:t>e</w:t>
      </w:r>
      <w:r>
        <w:rPr>
          <w:kern w:val="28"/>
        </w:rPr>
        <w:t>s que ces liens visaient à frauder</w:t>
      </w:r>
      <w:r>
        <w:rPr>
          <w:rStyle w:val="Appelnotedebasdep"/>
          <w:kern w:val="28"/>
        </w:rPr>
        <w:footnoteReference w:id="51"/>
      </w:r>
      <w:r>
        <w:rPr>
          <w:kern w:val="28"/>
        </w:rPr>
        <w:t xml:space="preserve"> permettraient possiblement de retenir la responsabilité des Défenderesses.</w:t>
      </w:r>
    </w:p>
    <w:p w14:paraId="664C45A0" w14:textId="77777777" w:rsidR="00E34FF2" w:rsidRDefault="00B2678F" w:rsidP="00E34FF2">
      <w:pPr>
        <w:numPr>
          <w:ilvl w:val="0"/>
          <w:numId w:val="1"/>
        </w:numPr>
        <w:spacing w:before="120" w:after="120"/>
        <w:jc w:val="both"/>
        <w:rPr>
          <w:kern w:val="28"/>
        </w:rPr>
      </w:pPr>
      <w:r>
        <w:rPr>
          <w:kern w:val="28"/>
        </w:rPr>
        <w:t>Puisque la cause d’action sous l’article 1457 C.c.Q. satisfait au critère de la cause défendable, il n’est pas nécessaire d’analyser la cause d’action sous la LPC.</w:t>
      </w:r>
    </w:p>
    <w:p w14:paraId="17180B41" w14:textId="77777777" w:rsidR="00E34FF2" w:rsidRDefault="00B2678F" w:rsidP="00E34FF2">
      <w:pPr>
        <w:pStyle w:val="Titre5"/>
      </w:pPr>
      <w:r>
        <w:t>Les dommages punitifs</w:t>
      </w:r>
    </w:p>
    <w:p w14:paraId="10748752" w14:textId="77777777" w:rsidR="00E34FF2" w:rsidRDefault="00B2678F" w:rsidP="00AA7499">
      <w:pPr>
        <w:pStyle w:val="Paragrsimple"/>
      </w:pPr>
      <w:bookmarkStart w:id="24" w:name="_Ref184651282"/>
      <w:bookmarkStart w:id="25" w:name="_Hlk184651220"/>
      <w:r>
        <w:t>L’octroi de dommages punitifs est possible lorsqu’ils sont « prévus par la loi »</w:t>
      </w:r>
      <w:r>
        <w:rPr>
          <w:rStyle w:val="Appelnotedebasdep"/>
        </w:rPr>
        <w:footnoteReference w:id="52"/>
      </w:r>
      <w:r>
        <w:t>.</w:t>
      </w:r>
    </w:p>
    <w:p w14:paraId="61780BEF" w14:textId="77777777" w:rsidR="00E34FF2" w:rsidRPr="00926540" w:rsidRDefault="00B2678F" w:rsidP="00AA7499">
      <w:pPr>
        <w:pStyle w:val="Paragrsimple"/>
      </w:pPr>
      <w:r>
        <w:t xml:space="preserve">Le droit à la réputation et à la vie privée </w:t>
      </w:r>
      <w:r w:rsidR="002819FB">
        <w:t>es</w:t>
      </w:r>
      <w:r>
        <w:t xml:space="preserve">t garanti </w:t>
      </w:r>
      <w:r w:rsidRPr="004176F5">
        <w:t xml:space="preserve">aux articles 4 et 5 de la </w:t>
      </w:r>
      <w:r w:rsidRPr="004176F5">
        <w:rPr>
          <w:i/>
          <w:iCs/>
        </w:rPr>
        <w:t>Charte des droits et libertés de la personne</w:t>
      </w:r>
      <w:r>
        <w:rPr>
          <w:i/>
          <w:iCs/>
        </w:rPr>
        <w:t xml:space="preserve"> </w:t>
      </w:r>
      <w:r w:rsidRPr="00926540">
        <w:t>(la « </w:t>
      </w:r>
      <w:r w:rsidRPr="00750225">
        <w:rPr>
          <w:b/>
          <w:bCs/>
          <w:i/>
          <w:iCs/>
        </w:rPr>
        <w:t>Charte</w:t>
      </w:r>
      <w:r w:rsidRPr="00926540">
        <w:t> »)</w:t>
      </w:r>
      <w:r>
        <w:rPr>
          <w:rStyle w:val="Appelnotedebasdep"/>
        </w:rPr>
        <w:footnoteReference w:id="53"/>
      </w:r>
      <w:r>
        <w:t>.</w:t>
      </w:r>
    </w:p>
    <w:p w14:paraId="556EC409" w14:textId="77777777" w:rsidR="00E34FF2" w:rsidRDefault="00B2678F" w:rsidP="00AA7499">
      <w:pPr>
        <w:pStyle w:val="Paragrsimple"/>
      </w:pPr>
      <w:r>
        <w:t xml:space="preserve">Toute atteinte « illicite et intentionnelle » à un droit protégé par la </w:t>
      </w:r>
      <w:r w:rsidRPr="00DF258F">
        <w:rPr>
          <w:i/>
          <w:iCs/>
        </w:rPr>
        <w:t>Charte</w:t>
      </w:r>
      <w:r>
        <w:t xml:space="preserve"> est susceptible de donner lieu à des dommages punitifs</w:t>
      </w:r>
      <w:r>
        <w:rPr>
          <w:rStyle w:val="Appelnotedebasdep"/>
        </w:rPr>
        <w:footnoteReference w:id="54"/>
      </w:r>
      <w:r>
        <w:t>.</w:t>
      </w:r>
    </w:p>
    <w:p w14:paraId="156382E9" w14:textId="77777777" w:rsidR="00E34FF2" w:rsidRDefault="00B2678F" w:rsidP="00AA7499">
      <w:pPr>
        <w:pStyle w:val="Paragrsimple"/>
      </w:pPr>
      <w:r>
        <w:t xml:space="preserve">Les tribunaux considèrent qu’il </w:t>
      </w:r>
      <w:r w:rsidRPr="004E6A85">
        <w:t>y a atteinte illicite et intentionnelle au sens d</w:t>
      </w:r>
      <w:r>
        <w:t xml:space="preserve">e cet article </w:t>
      </w:r>
      <w:r w:rsidRPr="004E6A85">
        <w:t>lorsque</w:t>
      </w:r>
      <w:r>
        <w:t> :</w:t>
      </w:r>
      <w:r w:rsidRPr="004E6A85">
        <w:t xml:space="preserve"> </w:t>
      </w:r>
      <w:r>
        <w:t xml:space="preserve">1) </w:t>
      </w:r>
      <w:r w:rsidRPr="004E6A85">
        <w:t xml:space="preserve">l’auteur </w:t>
      </w:r>
      <w:r>
        <w:t xml:space="preserve">a la </w:t>
      </w:r>
      <w:r w:rsidRPr="004E6A85">
        <w:t>volonté de causer les conséquences de sa conduite fautive</w:t>
      </w:r>
      <w:r>
        <w:t>;</w:t>
      </w:r>
      <w:r w:rsidRPr="004E6A85">
        <w:t xml:space="preserve"> ou </w:t>
      </w:r>
      <w:r>
        <w:t xml:space="preserve">2) </w:t>
      </w:r>
      <w:r w:rsidRPr="004E6A85">
        <w:t>s’il agit en toute connaissance des conséquences, immédiates</w:t>
      </w:r>
      <w:r>
        <w:t xml:space="preserve"> </w:t>
      </w:r>
      <w:r w:rsidRPr="004E6A85">
        <w:t>ou extrêmement probables</w:t>
      </w:r>
      <w:r>
        <w:t xml:space="preserve"> de sa </w:t>
      </w:r>
      <w:r w:rsidRPr="004E6A85">
        <w:t>conduite</w:t>
      </w:r>
      <w:r>
        <w:rPr>
          <w:rStyle w:val="Appelnotedebasdep"/>
        </w:rPr>
        <w:footnoteReference w:id="55"/>
      </w:r>
      <w:r w:rsidRPr="004E6A85">
        <w:t>.</w:t>
      </w:r>
    </w:p>
    <w:bookmarkEnd w:id="24"/>
    <w:p w14:paraId="25A1DEDE" w14:textId="77777777" w:rsidR="00E34FF2" w:rsidRDefault="00B2678F" w:rsidP="00AA7499">
      <w:pPr>
        <w:pStyle w:val="Paragrsimple"/>
      </w:pPr>
      <w:r>
        <w:t>Les tribunaux n’hésiteront pas à rejeter une demande à l’égard des dommages</w:t>
      </w:r>
      <w:r w:rsidRPr="00DF258F">
        <w:t>-intérêts punitifs en l’absence d’allégations factuelles démontrant des violations intentionnelles, en l’absence de mauvaise foi ou de négligence grossière ou en présence de correctifs rapides apportés par les défendeurs</w:t>
      </w:r>
      <w:r>
        <w:rPr>
          <w:rStyle w:val="Appelnotedebasdep"/>
        </w:rPr>
        <w:footnoteReference w:id="56"/>
      </w:r>
      <w:r w:rsidRPr="00DF258F">
        <w:t>.</w:t>
      </w:r>
    </w:p>
    <w:p w14:paraId="4DEFA34B" w14:textId="77777777" w:rsidR="00E34FF2" w:rsidRPr="00DF258F" w:rsidRDefault="00B2678F" w:rsidP="00AA7499">
      <w:pPr>
        <w:pStyle w:val="Paragrsimple"/>
      </w:pPr>
      <w:r>
        <w:t xml:space="preserve">Par ailleurs, puisque les dommages punitifs dépendent d’une évaluation de la conduite globale de la partie défenderesse, il est parfois </w:t>
      </w:r>
      <w:r w:rsidRPr="00DF4DC5">
        <w:t>prématuré de décider qu</w:t>
      </w:r>
      <w:r>
        <w:t>’</w:t>
      </w:r>
      <w:r w:rsidRPr="00DF4DC5">
        <w:t>il n</w:t>
      </w:r>
      <w:r>
        <w:t>’</w:t>
      </w:r>
      <w:r w:rsidRPr="00DF4DC5">
        <w:t>y a pas de fondement possible pour l</w:t>
      </w:r>
      <w:r>
        <w:t>’</w:t>
      </w:r>
      <w:r w:rsidRPr="00DF4DC5">
        <w:t xml:space="preserve">octroi de </w:t>
      </w:r>
      <w:r>
        <w:t>tels dommages au stade de l’autorisation</w:t>
      </w:r>
      <w:bookmarkStart w:id="26" w:name="_Ref184655194"/>
      <w:r>
        <w:rPr>
          <w:rStyle w:val="Appelnotedebasdep"/>
        </w:rPr>
        <w:footnoteReference w:id="57"/>
      </w:r>
      <w:bookmarkEnd w:id="26"/>
      <w:r>
        <w:t xml:space="preserve">. Généralement, </w:t>
      </w:r>
      <w:r w:rsidRPr="00C24C32">
        <w:t>une allégation de conduite illicite et intentionnelle qui se rapporte à une faute spécifique suffit</w:t>
      </w:r>
      <w:r w:rsidR="002819FB">
        <w:t>,</w:t>
      </w:r>
      <w:r>
        <w:t xml:space="preserve"> pourvu que la d</w:t>
      </w:r>
      <w:r w:rsidRPr="00C24C32">
        <w:t xml:space="preserve">emande d’autorisation </w:t>
      </w:r>
      <w:r>
        <w:t xml:space="preserve">dans son ensemble </w:t>
      </w:r>
      <w:r w:rsidRPr="00C24C32">
        <w:t>permet</w:t>
      </w:r>
      <w:r>
        <w:t>te</w:t>
      </w:r>
      <w:r w:rsidRPr="00C24C32">
        <w:t xml:space="preserve"> au tribunal de déduire l’intention illicite et intentionnelle</w:t>
      </w:r>
      <w:bookmarkStart w:id="27" w:name="_Ref184655634"/>
      <w:r>
        <w:rPr>
          <w:rStyle w:val="Appelnotedebasdep"/>
        </w:rPr>
        <w:footnoteReference w:id="58"/>
      </w:r>
      <w:bookmarkEnd w:id="27"/>
      <w:r w:rsidRPr="00C24C32">
        <w:t>.</w:t>
      </w:r>
    </w:p>
    <w:bookmarkEnd w:id="25"/>
    <w:p w14:paraId="7D585A5F" w14:textId="77777777" w:rsidR="00E34FF2" w:rsidRDefault="00B2678F" w:rsidP="00AA7499">
      <w:pPr>
        <w:pStyle w:val="Paragrsimple"/>
      </w:pPr>
      <w:r>
        <w:t>La Demanderesse allègue que plusieurs médias ont fait état des techniques reprochées</w:t>
      </w:r>
      <w:r>
        <w:rPr>
          <w:rStyle w:val="Appelnotedebasdep"/>
        </w:rPr>
        <w:footnoteReference w:id="59"/>
      </w:r>
      <w:r>
        <w:t xml:space="preserve"> et que plusieurs victimes des supercheries financières ont demandé aux Défenderesses de retirer ces fausses publicités</w:t>
      </w:r>
      <w:r w:rsidR="00F25C21">
        <w:t>,</w:t>
      </w:r>
      <w:r>
        <w:t xml:space="preserve"> ce qu</w:t>
      </w:r>
      <w:r w:rsidR="006F72B3">
        <w:t xml:space="preserve">’elles </w:t>
      </w:r>
      <w:r>
        <w:t>ont refusé de faire</w:t>
      </w:r>
      <w:r>
        <w:rPr>
          <w:rStyle w:val="Appelnotedebasdep"/>
        </w:rPr>
        <w:footnoteReference w:id="60"/>
      </w:r>
      <w:r>
        <w:t>.</w:t>
      </w:r>
    </w:p>
    <w:p w14:paraId="418FDE74" w14:textId="77777777" w:rsidR="00E34FF2" w:rsidRPr="00750225" w:rsidRDefault="00B2678F" w:rsidP="00E34FF2">
      <w:pPr>
        <w:pStyle w:val="Paragrsimple"/>
        <w:numPr>
          <w:ilvl w:val="0"/>
          <w:numId w:val="1"/>
        </w:numPr>
        <w:tabs>
          <w:tab w:val="clear" w:pos="360"/>
        </w:tabs>
      </w:pPr>
      <w:r>
        <w:t xml:space="preserve">Ces faits pourraient permettre à un juge de conclure que les Défenderesses ont agi </w:t>
      </w:r>
      <w:r w:rsidRPr="00750225">
        <w:t xml:space="preserve">en toute connaissance des conséquences immédiates ou extrêmement probables de </w:t>
      </w:r>
      <w:r>
        <w:t xml:space="preserve">leur </w:t>
      </w:r>
      <w:r w:rsidRPr="00750225">
        <w:t>conduite</w:t>
      </w:r>
      <w:r>
        <w:t>.</w:t>
      </w:r>
    </w:p>
    <w:p w14:paraId="4755F05E" w14:textId="77777777" w:rsidR="00E34FF2" w:rsidRDefault="00B2678F" w:rsidP="00E34FF2">
      <w:pPr>
        <w:pStyle w:val="Titre5"/>
      </w:pPr>
      <w:r>
        <w:t>Les Défenderesses</w:t>
      </w:r>
    </w:p>
    <w:p w14:paraId="46F31306" w14:textId="77777777" w:rsidR="00E34FF2" w:rsidRDefault="00B2678F" w:rsidP="00E34FF2">
      <w:pPr>
        <w:numPr>
          <w:ilvl w:val="0"/>
          <w:numId w:val="1"/>
        </w:numPr>
        <w:spacing w:before="120" w:after="120"/>
        <w:jc w:val="both"/>
        <w:rPr>
          <w:kern w:val="28"/>
        </w:rPr>
      </w:pPr>
      <w:r>
        <w:rPr>
          <w:kern w:val="28"/>
        </w:rPr>
        <w:t>Les allégations de la procédure et de la déclaration assermentée de monsieur Duffey se contredisent quant au rôle de Facebook Canada.</w:t>
      </w:r>
    </w:p>
    <w:p w14:paraId="762DB4F4" w14:textId="77777777" w:rsidR="00E34FF2" w:rsidRDefault="00B2678F" w:rsidP="00E34FF2">
      <w:pPr>
        <w:numPr>
          <w:ilvl w:val="0"/>
          <w:numId w:val="1"/>
        </w:numPr>
        <w:spacing w:before="120" w:after="120"/>
        <w:jc w:val="both"/>
        <w:rPr>
          <w:kern w:val="28"/>
        </w:rPr>
      </w:pPr>
      <w:r>
        <w:rPr>
          <w:kern w:val="28"/>
        </w:rPr>
        <w:t xml:space="preserve">Or, ce n’est pas au juge d’autorisation de trancher un débat factuel. Le </w:t>
      </w:r>
      <w:r w:rsidR="006F72B3">
        <w:rPr>
          <w:kern w:val="28"/>
        </w:rPr>
        <w:t xml:space="preserve">Tribunal </w:t>
      </w:r>
      <w:r>
        <w:rPr>
          <w:kern w:val="28"/>
        </w:rPr>
        <w:t>note que monsieur Duffey mentionne que Facebook Canada n’est pas impliqué dans la gestion de la plateforme Facebook. Par ailleurs, il ne donne aucun fait permettant de comprendre les activités de l’entreprise.</w:t>
      </w:r>
    </w:p>
    <w:p w14:paraId="5283E46F" w14:textId="77777777" w:rsidR="00E34FF2" w:rsidRDefault="00B2678F" w:rsidP="00E34FF2">
      <w:pPr>
        <w:numPr>
          <w:ilvl w:val="0"/>
          <w:numId w:val="1"/>
        </w:numPr>
        <w:spacing w:before="120" w:after="120"/>
        <w:jc w:val="both"/>
        <w:rPr>
          <w:kern w:val="28"/>
        </w:rPr>
      </w:pPr>
      <w:r>
        <w:rPr>
          <w:kern w:val="28"/>
        </w:rPr>
        <w:t>Le recours est autorisé contre toutes les Défenderesses. Le juge du fond, qui bénéficiera d’une preuve complète pour déterminer si la responsabilité des Défenderesses, incluant Facebook Canada, devrait être retenue.</w:t>
      </w:r>
    </w:p>
    <w:p w14:paraId="28DF5077" w14:textId="77777777" w:rsidR="00E34FF2" w:rsidRPr="00CB76BF" w:rsidRDefault="00B2678F" w:rsidP="005E2A8B">
      <w:pPr>
        <w:pStyle w:val="Titre4"/>
        <w:jc w:val="both"/>
      </w:pPr>
      <w:r w:rsidRPr="00CB76BF">
        <w:t>Le caractère approprié de l’action collective (article 575(3) C.p.c.)</w:t>
      </w:r>
    </w:p>
    <w:p w14:paraId="1A1EAC6A" w14:textId="77777777" w:rsidR="00E34FF2" w:rsidRPr="00CB76BF" w:rsidRDefault="00B2678F" w:rsidP="00E34FF2">
      <w:pPr>
        <w:numPr>
          <w:ilvl w:val="0"/>
          <w:numId w:val="1"/>
        </w:numPr>
        <w:spacing w:before="120" w:after="120"/>
        <w:jc w:val="both"/>
        <w:rPr>
          <w:kern w:val="28"/>
        </w:rPr>
      </w:pPr>
      <w:r w:rsidRPr="00CB76BF">
        <w:rPr>
          <w:kern w:val="28"/>
        </w:rPr>
        <w:t>L’article 575(3) C.p.c. exige que la composition du groupe rende « difficile ou peu pratique » l’utilisation des autres moyens procéduraux (par exemple, un mandat pour participer à une procédure judiciaire au nom d’autrui (articles 88 et 91 C.p.c.) ou la jonction d’instances (article 143 C.p.c.)). Les termes « difficile ou peu pratique » ne signifient pas impossible</w:t>
      </w:r>
      <w:bookmarkStart w:id="28" w:name="_Ref66438940"/>
      <w:r>
        <w:rPr>
          <w:vertAlign w:val="superscript"/>
          <w:lang w:val="en-CA"/>
        </w:rPr>
        <w:footnoteReference w:id="61"/>
      </w:r>
      <w:bookmarkEnd w:id="28"/>
      <w:r w:rsidRPr="00CB76BF">
        <w:rPr>
          <w:kern w:val="28"/>
        </w:rPr>
        <w:t>. La règle du « meilleur recours » ne s’applique pas au Québec et il n’est donc pas nécessaire de prouver que la procédure de l’action collective est le véhicule procédural le plus adéquat</w:t>
      </w:r>
      <w:r>
        <w:rPr>
          <w:vertAlign w:val="superscript"/>
          <w:lang w:val="en-CA"/>
        </w:rPr>
        <w:footnoteReference w:id="62"/>
      </w:r>
      <w:r w:rsidRPr="00CB76BF">
        <w:rPr>
          <w:kern w:val="28"/>
        </w:rPr>
        <w:t>.</w:t>
      </w:r>
    </w:p>
    <w:p w14:paraId="25C9276A" w14:textId="77777777" w:rsidR="00E34FF2" w:rsidRPr="00CB76BF" w:rsidRDefault="00B2678F" w:rsidP="00E34FF2">
      <w:pPr>
        <w:pStyle w:val="Paragrsimple"/>
        <w:numPr>
          <w:ilvl w:val="0"/>
          <w:numId w:val="1"/>
        </w:numPr>
        <w:tabs>
          <w:tab w:val="clear" w:pos="360"/>
        </w:tabs>
      </w:pPr>
      <w:r w:rsidRPr="00CB76BF">
        <w:t>La Cour d’appel mentionne que pour satisfaire à ce critère, le requérant doit démontrer que le recours collectif est un moyen « utile » pour atteindre les objectifs du groupe</w:t>
      </w:r>
      <w:r>
        <w:rPr>
          <w:vertAlign w:val="superscript"/>
          <w:lang w:val="en-CA"/>
        </w:rPr>
        <w:footnoteReference w:id="63"/>
      </w:r>
      <w:r w:rsidRPr="00CB76BF">
        <w:t>.</w:t>
      </w:r>
    </w:p>
    <w:p w14:paraId="30F9DD3C" w14:textId="77777777" w:rsidR="00E34FF2" w:rsidRPr="00CB76BF" w:rsidRDefault="00B2678F" w:rsidP="00E34FF2">
      <w:pPr>
        <w:pStyle w:val="Paragrsimple"/>
        <w:numPr>
          <w:ilvl w:val="0"/>
          <w:numId w:val="1"/>
        </w:numPr>
        <w:tabs>
          <w:tab w:val="clear" w:pos="360"/>
        </w:tabs>
      </w:pPr>
      <w:r w:rsidRPr="00CB76BF">
        <w:t>Pour évaluer cette utilité, les tribunaux peuvent examiner le nombre estimé de membres, leur situation géographique et la connaissance qu’a le requérant de leur identité et de leurs coordonnées</w:t>
      </w:r>
      <w:r>
        <w:rPr>
          <w:vertAlign w:val="superscript"/>
          <w:lang w:val="en-CA"/>
        </w:rPr>
        <w:footnoteReference w:id="64"/>
      </w:r>
      <w:r w:rsidRPr="00CB76BF">
        <w:t>.</w:t>
      </w:r>
    </w:p>
    <w:p w14:paraId="7CA90476" w14:textId="77777777" w:rsidR="00E34FF2" w:rsidRDefault="00B2678F" w:rsidP="00E34FF2">
      <w:pPr>
        <w:pStyle w:val="Paragrsimple"/>
        <w:numPr>
          <w:ilvl w:val="0"/>
          <w:numId w:val="1"/>
        </w:numPr>
        <w:tabs>
          <w:tab w:val="clear" w:pos="360"/>
        </w:tabs>
      </w:pPr>
      <w:r w:rsidRPr="00932194">
        <w:t>Si, de toute évidence</w:t>
      </w:r>
      <w:r>
        <w:t>, l</w:t>
      </w:r>
      <w:r w:rsidRPr="00CB76BF">
        <w:t xml:space="preserve">e nombre de membres est important, </w:t>
      </w:r>
      <w:r>
        <w:t>« i</w:t>
      </w:r>
      <w:r w:rsidRPr="00932194">
        <w:t>l est alors permis de tirer certaines inférences de la situation</w:t>
      </w:r>
      <w:r>
        <w:t> »</w:t>
      </w:r>
      <w:r w:rsidRPr="00CB76BF">
        <w:t xml:space="preserve"> </w:t>
      </w:r>
      <w:r>
        <w:t xml:space="preserve">et </w:t>
      </w:r>
      <w:r w:rsidRPr="00CB76BF">
        <w:t>cela suffit généralement à démontrer qu’il serait difficile ou peu pratique de procéder autrement</w:t>
      </w:r>
      <w:bookmarkStart w:id="29" w:name="_Ref228807783"/>
      <w:r>
        <w:rPr>
          <w:vertAlign w:val="superscript"/>
          <w:lang w:val="en-CA"/>
        </w:rPr>
        <w:footnoteReference w:id="65"/>
      </w:r>
      <w:bookmarkEnd w:id="29"/>
      <w:r w:rsidRPr="00CB76BF">
        <w:t>.</w:t>
      </w:r>
    </w:p>
    <w:p w14:paraId="7B1D0F83" w14:textId="77777777" w:rsidR="00E34FF2" w:rsidRPr="00684D68" w:rsidRDefault="00B2678F" w:rsidP="00E34FF2">
      <w:pPr>
        <w:pStyle w:val="Paragrsimple"/>
        <w:numPr>
          <w:ilvl w:val="0"/>
          <w:numId w:val="1"/>
        </w:numPr>
        <w:tabs>
          <w:tab w:val="clear" w:pos="360"/>
        </w:tabs>
      </w:pPr>
      <w:r>
        <w:t>Les allégations et les pièces</w:t>
      </w:r>
      <w:r>
        <w:rPr>
          <w:rStyle w:val="Appelnotedebasdep"/>
        </w:rPr>
        <w:footnoteReference w:id="66"/>
      </w:r>
      <w:r>
        <w:t xml:space="preserve"> font valoir que plusieurs personnalités connues sont dans une situation semblable à celle de la Demanderesse.</w:t>
      </w:r>
    </w:p>
    <w:p w14:paraId="24E8FD1E" w14:textId="77777777" w:rsidR="00E34FF2" w:rsidRPr="00CB76BF" w:rsidRDefault="00B2678F" w:rsidP="005E2A8B">
      <w:pPr>
        <w:pStyle w:val="Titre4"/>
        <w:jc w:val="both"/>
      </w:pPr>
      <w:r w:rsidRPr="00CB76BF">
        <w:t>Un représentant en mesure d’assurer une représentation adéquate des membres (art</w:t>
      </w:r>
      <w:r w:rsidR="00AE174A">
        <w:t>icle</w:t>
      </w:r>
      <w:r w:rsidRPr="00CB76BF">
        <w:t xml:space="preserve"> 575(</w:t>
      </w:r>
      <w:r>
        <w:t>4</w:t>
      </w:r>
      <w:r w:rsidRPr="00CB76BF">
        <w:t>) C.p.c.)</w:t>
      </w:r>
    </w:p>
    <w:p w14:paraId="19432A5D" w14:textId="77777777" w:rsidR="00E34FF2" w:rsidRPr="00CB76BF" w:rsidRDefault="00B2678F" w:rsidP="00E34FF2">
      <w:pPr>
        <w:numPr>
          <w:ilvl w:val="0"/>
          <w:numId w:val="1"/>
        </w:numPr>
        <w:spacing w:before="120" w:after="120"/>
        <w:jc w:val="both"/>
        <w:rPr>
          <w:kern w:val="28"/>
        </w:rPr>
      </w:pPr>
      <w:r w:rsidRPr="00CB76BF">
        <w:rPr>
          <w:kern w:val="28"/>
        </w:rPr>
        <w:t>Cette exigence est habituellement satisfaite lorsque le représentant est : i) intéressé par le procès; ii) compétent; et iii) n’a pas de conflit d’intérêts démontré avec les membres du groupe</w:t>
      </w:r>
      <w:r>
        <w:rPr>
          <w:vertAlign w:val="superscript"/>
          <w:lang w:val="en-CA"/>
        </w:rPr>
        <w:footnoteReference w:id="67"/>
      </w:r>
      <w:r w:rsidRPr="00CB76BF">
        <w:rPr>
          <w:kern w:val="28"/>
        </w:rPr>
        <w:t>.</w:t>
      </w:r>
    </w:p>
    <w:p w14:paraId="40BCE9AF" w14:textId="77777777" w:rsidR="00E34FF2" w:rsidRPr="00CB76BF" w:rsidRDefault="00B2678F" w:rsidP="00E34FF2">
      <w:pPr>
        <w:numPr>
          <w:ilvl w:val="0"/>
          <w:numId w:val="1"/>
        </w:numPr>
        <w:spacing w:before="120" w:after="120"/>
        <w:jc w:val="both"/>
        <w:rPr>
          <w:kern w:val="28"/>
        </w:rPr>
      </w:pPr>
      <w:r w:rsidRPr="00CB76BF">
        <w:rPr>
          <w:kern w:val="28"/>
        </w:rPr>
        <w:t>Ces facteurs doivent être interprétés de façon libérale. Un représentant ne doit pas être exclu « à moins que ses intérêts ou sa compétence ne soient tels qu’il serait impossible que l’affaire survive équitablement »</w:t>
      </w:r>
      <w:r>
        <w:rPr>
          <w:vertAlign w:val="superscript"/>
          <w:lang w:val="en-CA"/>
        </w:rPr>
        <w:footnoteReference w:id="68"/>
      </w:r>
      <w:r w:rsidRPr="00CB76BF">
        <w:rPr>
          <w:kern w:val="28"/>
        </w:rPr>
        <w:t>.</w:t>
      </w:r>
    </w:p>
    <w:p w14:paraId="2A5DA562" w14:textId="77777777" w:rsidR="00E34FF2" w:rsidRPr="00CB76BF" w:rsidRDefault="00B2678F" w:rsidP="00E34FF2">
      <w:pPr>
        <w:numPr>
          <w:ilvl w:val="0"/>
          <w:numId w:val="1"/>
        </w:numPr>
        <w:spacing w:before="120" w:after="120"/>
        <w:jc w:val="both"/>
        <w:rPr>
          <w:kern w:val="28"/>
        </w:rPr>
      </w:pPr>
      <w:r w:rsidRPr="00CB76BF">
        <w:rPr>
          <w:kern w:val="28"/>
        </w:rPr>
        <w:t>L’obligation jadis imposée au demandeur d’identifier les membres du groupe a été tempérée avec le temps. Lorsqu’il est clair qu’un grand nombre de consommateurs se trouvent dans la même situation que le demandeur, il devient moins important de tenter de les identifier</w:t>
      </w:r>
      <w:r>
        <w:rPr>
          <w:vertAlign w:val="superscript"/>
          <w:lang w:val="en-CA"/>
        </w:rPr>
        <w:footnoteReference w:id="69"/>
      </w:r>
      <w:r w:rsidRPr="00CB76BF">
        <w:rPr>
          <w:kern w:val="28"/>
        </w:rPr>
        <w:t>.</w:t>
      </w:r>
    </w:p>
    <w:p w14:paraId="659E6D07" w14:textId="77777777" w:rsidR="00E34FF2" w:rsidRDefault="00B2678F" w:rsidP="00E34FF2">
      <w:pPr>
        <w:pStyle w:val="Paragrsimple"/>
        <w:numPr>
          <w:ilvl w:val="0"/>
          <w:numId w:val="1"/>
        </w:numPr>
        <w:tabs>
          <w:tab w:val="clear" w:pos="360"/>
        </w:tabs>
      </w:pPr>
      <w:r>
        <w:t>La Demanderesse possède un intérêt direct et personnel à poursuivre le présent recours.</w:t>
      </w:r>
    </w:p>
    <w:p w14:paraId="09C989E0" w14:textId="77777777" w:rsidR="00E34FF2" w:rsidRDefault="00B2678F" w:rsidP="00E34FF2">
      <w:pPr>
        <w:pStyle w:val="Paragrsimple"/>
        <w:numPr>
          <w:ilvl w:val="0"/>
          <w:numId w:val="1"/>
        </w:numPr>
        <w:tabs>
          <w:tab w:val="clear" w:pos="360"/>
        </w:tabs>
      </w:pPr>
      <w:r>
        <w:t xml:space="preserve">Elle a les qualités requises pour assurer une représentation adéquate des </w:t>
      </w:r>
      <w:r w:rsidR="00EC1219">
        <w:t xml:space="preserve">Membres </w:t>
      </w:r>
      <w:r>
        <w:t xml:space="preserve">du </w:t>
      </w:r>
      <w:r w:rsidR="00EC1219">
        <w:t>Groupe</w:t>
      </w:r>
      <w:r>
        <w:t>. Elle est directement touchée par les atteintes alléguées à l’image et à la réputation qui fondent le présent recours.</w:t>
      </w:r>
    </w:p>
    <w:p w14:paraId="13BB122C" w14:textId="77777777" w:rsidR="00E34FF2" w:rsidRPr="00772542" w:rsidRDefault="00B2678F" w:rsidP="00E34FF2">
      <w:pPr>
        <w:pStyle w:val="Paragrsimple"/>
        <w:numPr>
          <w:ilvl w:val="0"/>
          <w:numId w:val="1"/>
        </w:numPr>
        <w:tabs>
          <w:tab w:val="clear" w:pos="360"/>
        </w:tabs>
      </w:pPr>
      <w:r>
        <w:t>Elle n’a aucun conflit d’intérêt</w:t>
      </w:r>
      <w:r w:rsidR="00AE174A">
        <w:t>s</w:t>
      </w:r>
      <w:r>
        <w:t xml:space="preserve"> avec aucun </w:t>
      </w:r>
      <w:r w:rsidR="00EC1219">
        <w:t xml:space="preserve">Membre </w:t>
      </w:r>
      <w:r>
        <w:t xml:space="preserve">du </w:t>
      </w:r>
      <w:r w:rsidR="00EC1219">
        <w:t>Groupe</w:t>
      </w:r>
      <w:r>
        <w:t>.</w:t>
      </w:r>
    </w:p>
    <w:p w14:paraId="0AB4D384" w14:textId="77777777" w:rsidR="00E34FF2" w:rsidRPr="00772542" w:rsidRDefault="00B2678F" w:rsidP="00E34FF2">
      <w:pPr>
        <w:numPr>
          <w:ilvl w:val="0"/>
          <w:numId w:val="1"/>
        </w:numPr>
        <w:spacing w:before="120" w:after="120"/>
        <w:jc w:val="both"/>
        <w:rPr>
          <w:kern w:val="28"/>
        </w:rPr>
      </w:pPr>
      <w:r>
        <w:rPr>
          <w:kern w:val="28"/>
        </w:rPr>
        <w:t>Ce critère est satisfait.</w:t>
      </w:r>
    </w:p>
    <w:p w14:paraId="562324E7" w14:textId="77777777" w:rsidR="00E34FF2" w:rsidRDefault="00B2678F" w:rsidP="005E2A8B">
      <w:pPr>
        <w:pStyle w:val="Titre2"/>
        <w:jc w:val="both"/>
      </w:pPr>
      <w:r>
        <w:rPr>
          <w:caps w:val="0"/>
        </w:rPr>
        <w:t>Comment le Tribunal doit-il décrire le groupe, le représentant, les principales questions à traiter collectivement et les conclusions recherchées relativement à ces questions?</w:t>
      </w:r>
    </w:p>
    <w:p w14:paraId="1D4B835E" w14:textId="77777777" w:rsidR="00E34FF2" w:rsidRDefault="00B2678F" w:rsidP="00E34FF2">
      <w:pPr>
        <w:pStyle w:val="Paragrsimple"/>
        <w:numPr>
          <w:ilvl w:val="0"/>
          <w:numId w:val="1"/>
        </w:numPr>
        <w:tabs>
          <w:tab w:val="clear" w:pos="360"/>
        </w:tabs>
      </w:pPr>
      <w:r>
        <w:t xml:space="preserve">L’article 576 C.p.c. </w:t>
      </w:r>
      <w:r w:rsidR="00AF5966">
        <w:t xml:space="preserve">stipule </w:t>
      </w:r>
      <w:r>
        <w:t>que le jugement autorisant une action collective doit :</w:t>
      </w:r>
    </w:p>
    <w:p w14:paraId="74FB71A1" w14:textId="77777777" w:rsidR="00E34FF2" w:rsidRDefault="00B2678F" w:rsidP="00E34FF2">
      <w:pPr>
        <w:pStyle w:val="Sous-paragraphe"/>
        <w:numPr>
          <w:ilvl w:val="1"/>
          <w:numId w:val="1"/>
        </w:numPr>
        <w:tabs>
          <w:tab w:val="clear" w:pos="1000"/>
          <w:tab w:val="num" w:pos="1701"/>
        </w:tabs>
        <w:ind w:left="1701" w:hanging="992"/>
      </w:pPr>
      <w:r>
        <w:t>décrire le groupe et les sous-groupe</w:t>
      </w:r>
      <w:r w:rsidR="002819FB">
        <w:t>s</w:t>
      </w:r>
      <w:r>
        <w:t xml:space="preserve"> dont les membres seront liés par le jugement sur l’action collective;</w:t>
      </w:r>
    </w:p>
    <w:p w14:paraId="6D432E70" w14:textId="77777777" w:rsidR="00E34FF2" w:rsidRDefault="00B2678F" w:rsidP="00E34FF2">
      <w:pPr>
        <w:pStyle w:val="Sous-paragraphe"/>
        <w:numPr>
          <w:ilvl w:val="1"/>
          <w:numId w:val="1"/>
        </w:numPr>
        <w:tabs>
          <w:tab w:val="clear" w:pos="1000"/>
          <w:tab w:val="num" w:pos="1701"/>
        </w:tabs>
        <w:ind w:left="1701" w:hanging="992"/>
      </w:pPr>
      <w:r>
        <w:t>désigner le représentant du groupe;</w:t>
      </w:r>
    </w:p>
    <w:p w14:paraId="45596FC1" w14:textId="77777777" w:rsidR="00E34FF2" w:rsidRDefault="00B2678F" w:rsidP="00E34FF2">
      <w:pPr>
        <w:pStyle w:val="Sous-paragraphe"/>
        <w:numPr>
          <w:ilvl w:val="1"/>
          <w:numId w:val="1"/>
        </w:numPr>
        <w:tabs>
          <w:tab w:val="clear" w:pos="1000"/>
          <w:tab w:val="num" w:pos="1701"/>
        </w:tabs>
        <w:ind w:left="1701" w:hanging="992"/>
      </w:pPr>
      <w:r>
        <w:t>identifier les principales questions à traiter collectivement et les conclusions recherchées en relation avec ces questions; et</w:t>
      </w:r>
    </w:p>
    <w:p w14:paraId="13211CB4" w14:textId="77777777" w:rsidR="00E34FF2" w:rsidRDefault="00B2678F" w:rsidP="00E34FF2">
      <w:pPr>
        <w:pStyle w:val="Sous-paragraphe"/>
        <w:numPr>
          <w:ilvl w:val="1"/>
          <w:numId w:val="1"/>
        </w:numPr>
        <w:tabs>
          <w:tab w:val="clear" w:pos="1000"/>
          <w:tab w:val="num" w:pos="1701"/>
        </w:tabs>
        <w:ind w:left="1701" w:hanging="992"/>
      </w:pPr>
      <w:r>
        <w:t>déterminer le district dans lequel le recours collectif doit être intenté.</w:t>
      </w:r>
    </w:p>
    <w:p w14:paraId="7856D3D8" w14:textId="77777777" w:rsidR="00E34FF2" w:rsidRDefault="00B2678F" w:rsidP="00E34FF2">
      <w:pPr>
        <w:pStyle w:val="Paragrsimple"/>
        <w:numPr>
          <w:ilvl w:val="0"/>
          <w:numId w:val="1"/>
        </w:numPr>
        <w:tabs>
          <w:tab w:val="clear" w:pos="360"/>
        </w:tabs>
      </w:pPr>
      <w:r>
        <w:t xml:space="preserve">Pour les motifs susmentionnés, le Tribunal considère que la Demanderesse est parfaitement bien placée pour représenter le </w:t>
      </w:r>
      <w:r w:rsidR="00B901EC">
        <w:t>Groupe</w:t>
      </w:r>
      <w:r>
        <w:t>.</w:t>
      </w:r>
    </w:p>
    <w:p w14:paraId="3609F6FC" w14:textId="77777777" w:rsidR="00E34FF2" w:rsidRDefault="00B2678F" w:rsidP="00E34FF2">
      <w:pPr>
        <w:pStyle w:val="Paragrsimple"/>
        <w:numPr>
          <w:ilvl w:val="0"/>
          <w:numId w:val="1"/>
        </w:numPr>
        <w:tabs>
          <w:tab w:val="clear" w:pos="360"/>
        </w:tabs>
      </w:pPr>
      <w:r>
        <w:t>L’action collective sera entendue dans le district de Montréal où réside la majorité des Membres.</w:t>
      </w:r>
    </w:p>
    <w:p w14:paraId="37550294" w14:textId="77777777" w:rsidR="00E34FF2" w:rsidRDefault="00B2678F" w:rsidP="00E34FF2">
      <w:pPr>
        <w:pStyle w:val="Paragrsimple"/>
        <w:numPr>
          <w:ilvl w:val="0"/>
          <w:numId w:val="1"/>
        </w:numPr>
        <w:tabs>
          <w:tab w:val="clear" w:pos="360"/>
        </w:tabs>
      </w:pPr>
      <w:r>
        <w:t xml:space="preserve">Dans l’affaire </w:t>
      </w:r>
      <w:r w:rsidRPr="00B70C1E">
        <w:rPr>
          <w:i/>
        </w:rPr>
        <w:t xml:space="preserve">George </w:t>
      </w:r>
      <w:r w:rsidRPr="005E2A8B">
        <w:rPr>
          <w:iCs/>
        </w:rPr>
        <w:t>c.</w:t>
      </w:r>
      <w:r w:rsidRPr="00B70C1E">
        <w:rPr>
          <w:i/>
        </w:rPr>
        <w:t xml:space="preserve"> Québec (Procureur général)</w:t>
      </w:r>
      <w:r w:rsidRPr="00B70C1E">
        <w:rPr>
          <w:kern w:val="0"/>
          <w:vertAlign w:val="superscript"/>
        </w:rPr>
        <w:t xml:space="preserve"> </w:t>
      </w:r>
      <w:r>
        <w:rPr>
          <w:kern w:val="0"/>
          <w:vertAlign w:val="superscript"/>
        </w:rPr>
        <w:footnoteReference w:id="70"/>
      </w:r>
      <w:r>
        <w:t>, la Cour d’appel a statué que la description d'un groupe proposé doit répondre aux exigences suivantes :</w:t>
      </w:r>
    </w:p>
    <w:p w14:paraId="5350CA38" w14:textId="77777777" w:rsidR="00E34FF2" w:rsidRDefault="00B2678F" w:rsidP="00E34FF2">
      <w:pPr>
        <w:pStyle w:val="Sous-paragraphe"/>
        <w:numPr>
          <w:ilvl w:val="1"/>
          <w:numId w:val="1"/>
        </w:numPr>
        <w:tabs>
          <w:tab w:val="clear" w:pos="1000"/>
          <w:tab w:val="num" w:pos="1701"/>
        </w:tabs>
        <w:ind w:left="1701" w:hanging="992"/>
      </w:pPr>
      <w:r>
        <w:t>La définition du groupe doit être fondée sur des critères objectifs ;</w:t>
      </w:r>
    </w:p>
    <w:p w14:paraId="5D6ABA1B" w14:textId="77777777" w:rsidR="00E34FF2" w:rsidRDefault="00B2678F" w:rsidP="00E34FF2">
      <w:pPr>
        <w:pStyle w:val="Sous-paragraphe"/>
        <w:numPr>
          <w:ilvl w:val="1"/>
          <w:numId w:val="1"/>
        </w:numPr>
        <w:tabs>
          <w:tab w:val="clear" w:pos="1000"/>
          <w:tab w:val="num" w:pos="1701"/>
        </w:tabs>
        <w:ind w:left="1701" w:hanging="992"/>
      </w:pPr>
      <w:r>
        <w:t>Ces critères doivent avoir un fondement rationnel ;</w:t>
      </w:r>
    </w:p>
    <w:p w14:paraId="62728FFF" w14:textId="77777777" w:rsidR="00E34FF2" w:rsidRDefault="00B2678F" w:rsidP="00E34FF2">
      <w:pPr>
        <w:pStyle w:val="Sous-paragraphe"/>
        <w:numPr>
          <w:ilvl w:val="1"/>
          <w:numId w:val="1"/>
        </w:numPr>
        <w:tabs>
          <w:tab w:val="clear" w:pos="1000"/>
          <w:tab w:val="num" w:pos="1701"/>
        </w:tabs>
        <w:ind w:left="1701" w:hanging="992"/>
      </w:pPr>
      <w:r>
        <w:t>La définition du groupe ne doit pas être circulaire ou imprécise ; et</w:t>
      </w:r>
    </w:p>
    <w:p w14:paraId="600B22F2" w14:textId="77777777" w:rsidR="00E34FF2" w:rsidRDefault="00B2678F" w:rsidP="00E34FF2">
      <w:pPr>
        <w:pStyle w:val="Sous-paragraphe"/>
        <w:numPr>
          <w:ilvl w:val="1"/>
          <w:numId w:val="1"/>
        </w:numPr>
        <w:tabs>
          <w:tab w:val="clear" w:pos="1000"/>
          <w:tab w:val="num" w:pos="1701"/>
        </w:tabs>
        <w:ind w:left="1701" w:hanging="992"/>
      </w:pPr>
      <w:r>
        <w:t>La définition du groupe ne doit pas être fondée sur un ou des critères qui dépendent de l’issue du recours collectif sur le fond.</w:t>
      </w:r>
    </w:p>
    <w:p w14:paraId="26487AAD" w14:textId="77777777" w:rsidR="00E34FF2" w:rsidRDefault="00B2678F" w:rsidP="00E34FF2">
      <w:pPr>
        <w:pStyle w:val="Paragrsimple"/>
        <w:numPr>
          <w:ilvl w:val="0"/>
          <w:numId w:val="1"/>
        </w:numPr>
        <w:tabs>
          <w:tab w:val="clear" w:pos="360"/>
        </w:tabs>
      </w:pPr>
      <w:r>
        <w:t>Ces exigences doivent être respectées dès le début d</w:t>
      </w:r>
      <w:r w:rsidR="0069768B">
        <w:t xml:space="preserve">e l’action </w:t>
      </w:r>
      <w:r>
        <w:t>collecti</w:t>
      </w:r>
      <w:r w:rsidR="0069768B">
        <w:t>ve</w:t>
      </w:r>
      <w:r>
        <w:t>, car la description du groupe précise qui a droit aux avis, qui a droit au redressement (si le redressement est accordé) et qui sera lié par le jugement</w:t>
      </w:r>
      <w:r>
        <w:rPr>
          <w:rStyle w:val="Appelnotedebasdep"/>
        </w:rPr>
        <w:footnoteReference w:id="71"/>
      </w:r>
      <w:r>
        <w:t>.</w:t>
      </w:r>
    </w:p>
    <w:p w14:paraId="459713BE" w14:textId="77777777" w:rsidR="00E34FF2" w:rsidRDefault="00B2678F" w:rsidP="00E34FF2">
      <w:pPr>
        <w:pStyle w:val="Paragrsimple"/>
        <w:numPr>
          <w:ilvl w:val="0"/>
          <w:numId w:val="1"/>
        </w:numPr>
        <w:tabs>
          <w:tab w:val="clear" w:pos="360"/>
        </w:tabs>
      </w:pPr>
      <w:r>
        <w:t>La définition du groupe ne doit pas être trop large et doit demeurer conforme à la preuve soumise ainsi qu’à la réalité et à l’ampleur du problème à l’origine du litige. Le tribunal peut redéfinir un groupe pour faire en sorte que ses dimensions correspondent mieux à la demande telle que formulée par le demandeur. Ce remède doit être préféré au refus de l’autorisation. Le groupe peut également être redéfini à des stades ultérieurs de la procédure</w:t>
      </w:r>
      <w:r>
        <w:rPr>
          <w:kern w:val="0"/>
          <w:vertAlign w:val="superscript"/>
          <w:lang w:val="en-CA"/>
        </w:rPr>
        <w:footnoteReference w:id="72"/>
      </w:r>
      <w:r>
        <w:t>.</w:t>
      </w:r>
    </w:p>
    <w:p w14:paraId="4FDD3225" w14:textId="77777777" w:rsidR="00E34FF2" w:rsidRDefault="00B2678F" w:rsidP="00E34FF2">
      <w:pPr>
        <w:pStyle w:val="Paragrsimple"/>
        <w:numPr>
          <w:ilvl w:val="0"/>
          <w:numId w:val="1"/>
        </w:numPr>
        <w:tabs>
          <w:tab w:val="clear" w:pos="360"/>
        </w:tabs>
      </w:pPr>
      <w:r>
        <w:t xml:space="preserve">La Demanderesse souhaite déposer un recours collectif au nom du </w:t>
      </w:r>
      <w:r w:rsidR="006C038A">
        <w:t>G</w:t>
      </w:r>
      <w:r>
        <w:t>roupe suivant :</w:t>
      </w:r>
    </w:p>
    <w:p w14:paraId="73D99246" w14:textId="77777777" w:rsidR="00E34FF2" w:rsidRDefault="00B2678F" w:rsidP="00E34FF2">
      <w:pPr>
        <w:pStyle w:val="Citationenretrait"/>
      </w:pPr>
      <w:r w:rsidRPr="00493202">
        <w:t>Toutes les personnes résidant au Québec dont la réputation a été atteinte</w:t>
      </w:r>
      <w:r w:rsidR="002819FB">
        <w:t>,</w:t>
      </w:r>
      <w:r w:rsidRPr="00493202">
        <w:t xml:space="preserve"> puisque leur nom a servi à attirer et/ou influencer un public par le moyen de publicités frauduleuses, fausses et/ou trompeuses publiées sur Facebook (Meta) qui incitent leur public à cliquer sur des liens frauduleux, qui les présentent comme favorables et/ou endossant un produit et/ou service d’investissement, sur de la cryptomonnaie ou autre, ou un produit et/ou service illicite</w:t>
      </w:r>
      <w:r w:rsidR="002819FB">
        <w:t>s</w:t>
      </w:r>
      <w:r w:rsidRPr="00493202">
        <w:t xml:space="preserve"> qui s’avèrent être une escroquerie</w:t>
      </w:r>
      <w:r w:rsidR="0069768B">
        <w:t>.</w:t>
      </w:r>
    </w:p>
    <w:p w14:paraId="7CCD89A7" w14:textId="77777777" w:rsidR="00E34FF2" w:rsidRDefault="00B2678F" w:rsidP="00E34FF2">
      <w:pPr>
        <w:pStyle w:val="Paragrsimple"/>
        <w:numPr>
          <w:ilvl w:val="0"/>
          <w:numId w:val="1"/>
        </w:numPr>
        <w:tabs>
          <w:tab w:val="clear" w:pos="360"/>
        </w:tabs>
      </w:pPr>
      <w:r>
        <w:t>Cette définition est claire et précise. Elle a un lien rationnel avec le fondement de l’action.</w:t>
      </w:r>
    </w:p>
    <w:p w14:paraId="7426C02E" w14:textId="77777777" w:rsidR="00E34FF2" w:rsidRDefault="00B2678F" w:rsidP="00E34FF2">
      <w:pPr>
        <w:pStyle w:val="Paragrsimple"/>
        <w:numPr>
          <w:ilvl w:val="0"/>
          <w:numId w:val="1"/>
        </w:numPr>
        <w:tabs>
          <w:tab w:val="clear" w:pos="360"/>
        </w:tabs>
      </w:pPr>
      <w:r>
        <w:t>La définition est acceptée.</w:t>
      </w:r>
    </w:p>
    <w:p w14:paraId="0DA78FF0" w14:textId="77777777" w:rsidR="00E34FF2" w:rsidRPr="00493202" w:rsidRDefault="00B2678F" w:rsidP="00E34FF2">
      <w:pPr>
        <w:pStyle w:val="Paragrsimple"/>
        <w:numPr>
          <w:ilvl w:val="0"/>
          <w:numId w:val="1"/>
        </w:numPr>
        <w:tabs>
          <w:tab w:val="clear" w:pos="360"/>
        </w:tabs>
      </w:pPr>
      <w:r>
        <w:t>Le Tribunal accepte aussi les questions communes proposées par la Demanderesse</w:t>
      </w:r>
      <w:r w:rsidR="00BD1ADE">
        <w:t xml:space="preserve"> tout en les reformulant pour les rendre plus claires</w:t>
      </w:r>
      <w:r>
        <w:t>.</w:t>
      </w:r>
    </w:p>
    <w:p w14:paraId="70499AF7" w14:textId="77777777" w:rsidR="00E34FF2" w:rsidRPr="00772542" w:rsidRDefault="00B2678F" w:rsidP="00E34FF2">
      <w:pPr>
        <w:pStyle w:val="Titre1"/>
      </w:pPr>
      <w:bookmarkStart w:id="30" w:name="_Toc45807147"/>
      <w:bookmarkStart w:id="31" w:name="_Toc56788871"/>
      <w:r w:rsidRPr="00772542">
        <w:t>CONCLUSION</w:t>
      </w:r>
      <w:bookmarkEnd w:id="30"/>
      <w:bookmarkEnd w:id="31"/>
    </w:p>
    <w:p w14:paraId="52CAD916" w14:textId="77777777" w:rsidR="00E34FF2" w:rsidRPr="00772542" w:rsidRDefault="00B2678F" w:rsidP="00E34FF2">
      <w:pPr>
        <w:numPr>
          <w:ilvl w:val="0"/>
          <w:numId w:val="1"/>
        </w:numPr>
        <w:tabs>
          <w:tab w:val="clear" w:pos="360"/>
        </w:tabs>
        <w:spacing w:before="120" w:after="120"/>
        <w:jc w:val="both"/>
        <w:rPr>
          <w:kern w:val="28"/>
        </w:rPr>
      </w:pPr>
      <w:r>
        <w:rPr>
          <w:kern w:val="28"/>
        </w:rPr>
        <w:t xml:space="preserve">L’action collective est autorisée. La Demanderesse est désignée comme représentante du </w:t>
      </w:r>
      <w:r w:rsidR="006C038A">
        <w:rPr>
          <w:kern w:val="28"/>
        </w:rPr>
        <w:t>G</w:t>
      </w:r>
      <w:r>
        <w:rPr>
          <w:kern w:val="28"/>
        </w:rPr>
        <w:t>roupe.</w:t>
      </w:r>
    </w:p>
    <w:p w14:paraId="4AF6F570" w14:textId="77777777" w:rsidR="00E34FF2" w:rsidRDefault="00B2678F" w:rsidP="00E34FF2">
      <w:pPr>
        <w:pStyle w:val="Titre1"/>
      </w:pPr>
      <w:bookmarkStart w:id="32" w:name="_Toc56788872"/>
      <w:r w:rsidRPr="00772542">
        <w:t>POUR CES MOTIFS, LE TRIBUNAL :</w:t>
      </w:r>
      <w:bookmarkEnd w:id="2"/>
      <w:bookmarkEnd w:id="32"/>
    </w:p>
    <w:p w14:paraId="7F32985C" w14:textId="77777777" w:rsidR="00E34FF2" w:rsidRDefault="00B2678F" w:rsidP="00E34FF2">
      <w:pPr>
        <w:pStyle w:val="Paragrsimple"/>
        <w:numPr>
          <w:ilvl w:val="0"/>
          <w:numId w:val="1"/>
        </w:numPr>
        <w:tabs>
          <w:tab w:val="clear" w:pos="360"/>
        </w:tabs>
      </w:pPr>
      <w:r w:rsidRPr="000534E3">
        <w:rPr>
          <w:b/>
          <w:bCs/>
        </w:rPr>
        <w:t>ACCUEILLE</w:t>
      </w:r>
      <w:r>
        <w:t xml:space="preserve"> la demande de la Demanderesse, madame Marie-Claude Barrette, pour être autorisée à exercer une action collective;</w:t>
      </w:r>
    </w:p>
    <w:p w14:paraId="530BF6FC" w14:textId="77777777" w:rsidR="00E34FF2" w:rsidRDefault="00B2678F" w:rsidP="00E34FF2">
      <w:pPr>
        <w:pStyle w:val="Paragrsimple"/>
        <w:numPr>
          <w:ilvl w:val="0"/>
          <w:numId w:val="1"/>
        </w:numPr>
        <w:tabs>
          <w:tab w:val="clear" w:pos="360"/>
        </w:tabs>
      </w:pPr>
      <w:r w:rsidRPr="000534E3">
        <w:rPr>
          <w:b/>
          <w:bCs/>
        </w:rPr>
        <w:t>ATTRIBUE</w:t>
      </w:r>
      <w:r>
        <w:t xml:space="preserve"> à madame Marie-Claude Barrette le statut de représentante aux fins d’exercer l’action collective pour le compte du </w:t>
      </w:r>
      <w:r w:rsidR="006C038A">
        <w:t>G</w:t>
      </w:r>
      <w:r>
        <w:t>roupe ci-après décrit :</w:t>
      </w:r>
    </w:p>
    <w:p w14:paraId="0D0EFB3D" w14:textId="77777777" w:rsidR="00E34FF2" w:rsidRDefault="00B2678F" w:rsidP="00E34FF2">
      <w:pPr>
        <w:pStyle w:val="Citationenretrait"/>
      </w:pPr>
      <w:r>
        <w:t>Toutes les personnes résidant au Québec dont la réputation a été atteinte</w:t>
      </w:r>
      <w:r w:rsidR="002819FB">
        <w:t>,</w:t>
      </w:r>
      <w:r>
        <w:t xml:space="preserve"> puisque leur nom a servi à attirer et/ou influencer un public par le moyen de publicités frauduleuses, fausses et/ou trompeuses publiées sur Facebook (Meta) qui incitent leur public à cliquer sur des liens frauduleux, qui les présentent comme favorables et/ou endossant un produit et/ou service d’investissement, sur de la cryptomonnaie ou autre, ou un produit et/ou service illicite</w:t>
      </w:r>
      <w:r w:rsidR="002819FB">
        <w:t>s</w:t>
      </w:r>
      <w:r>
        <w:t xml:space="preserve"> qui s’avèrent être une escroquerie</w:t>
      </w:r>
      <w:r w:rsidR="0069768B">
        <w:t>.</w:t>
      </w:r>
    </w:p>
    <w:p w14:paraId="12C916E6" w14:textId="77777777" w:rsidR="00E34FF2" w:rsidRDefault="00B2678F" w:rsidP="00E34FF2">
      <w:pPr>
        <w:pStyle w:val="Paragrsimple"/>
        <w:numPr>
          <w:ilvl w:val="0"/>
          <w:numId w:val="1"/>
        </w:numPr>
        <w:tabs>
          <w:tab w:val="clear" w:pos="360"/>
        </w:tabs>
      </w:pPr>
      <w:r w:rsidRPr="000534E3">
        <w:rPr>
          <w:b/>
          <w:bCs/>
        </w:rPr>
        <w:t>IDENTIFIE</w:t>
      </w:r>
      <w:r>
        <w:t xml:space="preserve"> comme suit les principales questions de faits et de droit qui seront traitées collectivement :</w:t>
      </w:r>
    </w:p>
    <w:p w14:paraId="478030D3" w14:textId="77777777" w:rsidR="00E34FF2" w:rsidRPr="000534E3" w:rsidRDefault="00B2678F" w:rsidP="00E34FF2">
      <w:pPr>
        <w:pStyle w:val="Sous-paragraphe"/>
        <w:numPr>
          <w:ilvl w:val="1"/>
          <w:numId w:val="1"/>
        </w:numPr>
        <w:tabs>
          <w:tab w:val="clear" w:pos="1000"/>
          <w:tab w:val="num" w:pos="1701"/>
        </w:tabs>
        <w:ind w:left="1701" w:hanging="992"/>
      </w:pPr>
      <w:r w:rsidRPr="000534E3">
        <w:t xml:space="preserve">Les </w:t>
      </w:r>
      <w:r>
        <w:t>Fausses p</w:t>
      </w:r>
      <w:r w:rsidRPr="000534E3">
        <w:t xml:space="preserve">ublicités ont-elles été publiées sur la </w:t>
      </w:r>
      <w:r w:rsidR="000601AF">
        <w:t>p</w:t>
      </w:r>
      <w:r w:rsidR="000601AF" w:rsidRPr="000534E3">
        <w:t xml:space="preserve">lateforme </w:t>
      </w:r>
      <w:r w:rsidRPr="000534E3">
        <w:t>des Défenderesses?</w:t>
      </w:r>
    </w:p>
    <w:p w14:paraId="1BDDDC21" w14:textId="77777777" w:rsidR="00E34FF2" w:rsidRPr="000534E3" w:rsidRDefault="00B2678F" w:rsidP="00E34FF2">
      <w:pPr>
        <w:pStyle w:val="Sous-paragraphe"/>
        <w:numPr>
          <w:ilvl w:val="1"/>
          <w:numId w:val="1"/>
        </w:numPr>
        <w:tabs>
          <w:tab w:val="clear" w:pos="1000"/>
          <w:tab w:val="num" w:pos="1701"/>
        </w:tabs>
        <w:ind w:left="1701" w:hanging="992"/>
      </w:pPr>
      <w:r w:rsidRPr="000534E3">
        <w:t xml:space="preserve">Les Défenderesses sont-elles responsables des dommages causés à la Demanderesse par les </w:t>
      </w:r>
      <w:r>
        <w:t>Fausses p</w:t>
      </w:r>
      <w:r w:rsidRPr="000534E3">
        <w:t>ublicités?</w:t>
      </w:r>
    </w:p>
    <w:p w14:paraId="2952B0C9" w14:textId="77777777" w:rsidR="00E34FF2" w:rsidRPr="000534E3" w:rsidRDefault="00B2678F" w:rsidP="00E34FF2">
      <w:pPr>
        <w:pStyle w:val="Sous-paragraphe"/>
        <w:numPr>
          <w:ilvl w:val="1"/>
          <w:numId w:val="1"/>
        </w:numPr>
        <w:tabs>
          <w:tab w:val="clear" w:pos="1000"/>
          <w:tab w:val="num" w:pos="1701"/>
        </w:tabs>
        <w:ind w:left="1701" w:hanging="992"/>
      </w:pPr>
      <w:r>
        <w:t xml:space="preserve">Les Défenderesses sont-elles </w:t>
      </w:r>
      <w:r w:rsidRPr="005E2A8B">
        <w:t>responsables</w:t>
      </w:r>
      <w:r>
        <w:t xml:space="preserve"> de l’atteinte à la réputation subie par la Défenderesse ainsi que par toutes les personnalités influentes au Québec qui ont été et continuent d’être utilisées comme appât, en raison de la diffusion sur leur plateforme d’informations qui ne correspondent pas à la vérité?</w:t>
      </w:r>
    </w:p>
    <w:p w14:paraId="6454DDD8" w14:textId="77777777" w:rsidR="00E34FF2" w:rsidRPr="000534E3" w:rsidRDefault="00B2678F" w:rsidP="00E34FF2">
      <w:pPr>
        <w:pStyle w:val="Sous-paragraphe"/>
        <w:numPr>
          <w:ilvl w:val="1"/>
          <w:numId w:val="1"/>
        </w:numPr>
        <w:tabs>
          <w:tab w:val="clear" w:pos="1000"/>
          <w:tab w:val="num" w:pos="1701"/>
        </w:tabs>
        <w:ind w:left="1701" w:hanging="992"/>
      </w:pPr>
      <w:r w:rsidRPr="000534E3">
        <w:t xml:space="preserve">Les Défenderesses ont-elles suivi correctement le </w:t>
      </w:r>
      <w:r>
        <w:t>p</w:t>
      </w:r>
      <w:r w:rsidRPr="000534E3">
        <w:t>rocessus d’examen prévu dans les Standards publicitaires?</w:t>
      </w:r>
    </w:p>
    <w:p w14:paraId="26CF849B" w14:textId="77777777" w:rsidR="00E34FF2" w:rsidRPr="000534E3" w:rsidRDefault="00B2678F" w:rsidP="00E34FF2">
      <w:pPr>
        <w:pStyle w:val="Sous-paragraphe"/>
        <w:numPr>
          <w:ilvl w:val="1"/>
          <w:numId w:val="1"/>
        </w:numPr>
        <w:tabs>
          <w:tab w:val="clear" w:pos="1000"/>
          <w:tab w:val="num" w:pos="1701"/>
        </w:tabs>
        <w:ind w:left="1701" w:hanging="992"/>
      </w:pPr>
      <w:r w:rsidRPr="000534E3">
        <w:t xml:space="preserve">Est-ce que le </w:t>
      </w:r>
      <w:r>
        <w:t>p</w:t>
      </w:r>
      <w:r w:rsidRPr="000534E3">
        <w:t xml:space="preserve">rocessus d’examen des </w:t>
      </w:r>
      <w:r w:rsidR="008C6BDE">
        <w:t xml:space="preserve">Fausses </w:t>
      </w:r>
      <w:r>
        <w:t>p</w:t>
      </w:r>
      <w:r w:rsidRPr="000534E3">
        <w:t xml:space="preserve">ublicités inclut l’examen des liens vers lesquels lesdites </w:t>
      </w:r>
      <w:r>
        <w:t>Fausses p</w:t>
      </w:r>
      <w:r w:rsidRPr="000534E3">
        <w:t>ublicités</w:t>
      </w:r>
      <w:r>
        <w:t xml:space="preserve"> ren</w:t>
      </w:r>
      <w:r w:rsidRPr="000534E3">
        <w:t>voient?</w:t>
      </w:r>
    </w:p>
    <w:p w14:paraId="021EFFAF" w14:textId="77777777" w:rsidR="00E34FF2" w:rsidRPr="000534E3" w:rsidRDefault="00B2678F" w:rsidP="00E34FF2">
      <w:pPr>
        <w:pStyle w:val="Sous-paragraphe"/>
        <w:numPr>
          <w:ilvl w:val="1"/>
          <w:numId w:val="1"/>
        </w:numPr>
        <w:tabs>
          <w:tab w:val="clear" w:pos="1000"/>
          <w:tab w:val="num" w:pos="1701"/>
        </w:tabs>
        <w:ind w:left="1701" w:hanging="992"/>
      </w:pPr>
      <w:r w:rsidRPr="000534E3">
        <w:t xml:space="preserve">Les </w:t>
      </w:r>
      <w:r>
        <w:t>Fausses p</w:t>
      </w:r>
      <w:r w:rsidRPr="000534E3">
        <w:t xml:space="preserve">ublicités </w:t>
      </w:r>
      <w:r>
        <w:t>e</w:t>
      </w:r>
      <w:r w:rsidRPr="000534E3">
        <w:t>nfreignent-elles les Standards publicitaires des Défenderesses?</w:t>
      </w:r>
    </w:p>
    <w:p w14:paraId="7A439A16" w14:textId="77777777" w:rsidR="00E34FF2" w:rsidRPr="000534E3" w:rsidRDefault="00B2678F" w:rsidP="00E34FF2">
      <w:pPr>
        <w:pStyle w:val="Sous-paragraphe"/>
        <w:numPr>
          <w:ilvl w:val="1"/>
          <w:numId w:val="1"/>
        </w:numPr>
        <w:tabs>
          <w:tab w:val="clear" w:pos="1000"/>
          <w:tab w:val="num" w:pos="1701"/>
        </w:tabs>
        <w:ind w:left="1701" w:hanging="992"/>
      </w:pPr>
      <w:r w:rsidRPr="000534E3">
        <w:t xml:space="preserve">Les Défenderesses ont-elles participé à des pratiques de commerce interdites par la </w:t>
      </w:r>
      <w:r w:rsidRPr="00D83EDC">
        <w:rPr>
          <w:i/>
          <w:iCs/>
        </w:rPr>
        <w:t>Loi sur la protection du consommateur</w:t>
      </w:r>
      <w:r w:rsidRPr="000534E3">
        <w:t>?</w:t>
      </w:r>
    </w:p>
    <w:p w14:paraId="0E7B4312" w14:textId="77777777" w:rsidR="00E34FF2" w:rsidRPr="000534E3" w:rsidRDefault="00B2678F" w:rsidP="00E34FF2">
      <w:pPr>
        <w:pStyle w:val="Sous-paragraphe"/>
        <w:numPr>
          <w:ilvl w:val="1"/>
          <w:numId w:val="1"/>
        </w:numPr>
        <w:tabs>
          <w:tab w:val="clear" w:pos="1000"/>
          <w:tab w:val="num" w:pos="1701"/>
        </w:tabs>
        <w:ind w:left="1701" w:hanging="992"/>
      </w:pPr>
      <w:r w:rsidRPr="000534E3">
        <w:t xml:space="preserve">Les Défenderesses ont-elles participé à des représentations frauduleuses, fausses ou trompeuses aux </w:t>
      </w:r>
      <w:r w:rsidR="00991630">
        <w:t>M</w:t>
      </w:r>
      <w:r w:rsidRPr="000534E3">
        <w:t>embres du Groupe visé?</w:t>
      </w:r>
    </w:p>
    <w:p w14:paraId="29C8C482" w14:textId="77777777" w:rsidR="00E34FF2" w:rsidRPr="000534E3" w:rsidRDefault="00B2678F" w:rsidP="00E34FF2">
      <w:pPr>
        <w:pStyle w:val="Sous-paragraphe"/>
        <w:numPr>
          <w:ilvl w:val="1"/>
          <w:numId w:val="1"/>
        </w:numPr>
        <w:tabs>
          <w:tab w:val="clear" w:pos="1000"/>
          <w:tab w:val="num" w:pos="1701"/>
        </w:tabs>
        <w:ind w:left="1701" w:hanging="992"/>
      </w:pPr>
      <w:r w:rsidRPr="000534E3">
        <w:t xml:space="preserve">La Demanderesse et les </w:t>
      </w:r>
      <w:r w:rsidR="00991630">
        <w:t>M</w:t>
      </w:r>
      <w:r w:rsidRPr="000534E3">
        <w:t xml:space="preserve">embres du Groupe visé ont-ils subi un préjudice causé par les </w:t>
      </w:r>
      <w:r>
        <w:t>Fausses p</w:t>
      </w:r>
      <w:r w:rsidRPr="000534E3">
        <w:t>ublicités?</w:t>
      </w:r>
    </w:p>
    <w:p w14:paraId="16278732" w14:textId="77777777" w:rsidR="00E34FF2" w:rsidRPr="000534E3" w:rsidRDefault="00B2678F" w:rsidP="00E34FF2">
      <w:pPr>
        <w:pStyle w:val="Sous-paragraphe"/>
        <w:numPr>
          <w:ilvl w:val="1"/>
          <w:numId w:val="1"/>
        </w:numPr>
        <w:tabs>
          <w:tab w:val="clear" w:pos="1000"/>
          <w:tab w:val="num" w:pos="1701"/>
        </w:tabs>
        <w:ind w:left="1701" w:hanging="992"/>
      </w:pPr>
      <w:r w:rsidRPr="000534E3">
        <w:t xml:space="preserve">La Demanderesse et les </w:t>
      </w:r>
      <w:r w:rsidR="00991630">
        <w:t>M</w:t>
      </w:r>
      <w:r w:rsidRPr="000534E3">
        <w:t>embres du Groupe visé sont-ils en droit de réclamer des dommages compensatoires?</w:t>
      </w:r>
    </w:p>
    <w:p w14:paraId="057A4616" w14:textId="77777777" w:rsidR="00E34FF2" w:rsidRPr="000534E3" w:rsidRDefault="00B2678F" w:rsidP="00E34FF2">
      <w:pPr>
        <w:pStyle w:val="Sous-paragraphe"/>
        <w:numPr>
          <w:ilvl w:val="1"/>
          <w:numId w:val="1"/>
        </w:numPr>
        <w:tabs>
          <w:tab w:val="clear" w:pos="1000"/>
          <w:tab w:val="num" w:pos="1701"/>
        </w:tabs>
        <w:ind w:left="1701" w:hanging="992"/>
      </w:pPr>
      <w:r w:rsidRPr="000534E3">
        <w:t xml:space="preserve">La Demanderesse et les </w:t>
      </w:r>
      <w:r w:rsidR="00991630">
        <w:t>M</w:t>
      </w:r>
      <w:r w:rsidRPr="000534E3">
        <w:t>embres du Groupe visé sont-ils en droit de réclamer des dommages punitifs?</w:t>
      </w:r>
    </w:p>
    <w:p w14:paraId="3EDF60F5" w14:textId="77777777" w:rsidR="00E34FF2" w:rsidRPr="000534E3" w:rsidRDefault="00B2678F" w:rsidP="00E34FF2">
      <w:pPr>
        <w:pStyle w:val="Sous-paragraphe"/>
        <w:numPr>
          <w:ilvl w:val="1"/>
          <w:numId w:val="1"/>
        </w:numPr>
        <w:tabs>
          <w:tab w:val="clear" w:pos="1000"/>
          <w:tab w:val="num" w:pos="1701"/>
        </w:tabs>
        <w:ind w:left="1701" w:hanging="992"/>
      </w:pPr>
      <w:r w:rsidRPr="000534E3">
        <w:t xml:space="preserve">Les réclamations des </w:t>
      </w:r>
      <w:r w:rsidR="00991630">
        <w:t>M</w:t>
      </w:r>
      <w:r w:rsidRPr="000534E3">
        <w:t>embres du Groupe visé peuvent-elles être recouvrées collectivement?</w:t>
      </w:r>
    </w:p>
    <w:p w14:paraId="1A975BDE" w14:textId="77777777" w:rsidR="00E34FF2" w:rsidRPr="000534E3" w:rsidRDefault="00B2678F" w:rsidP="00E34FF2">
      <w:pPr>
        <w:pStyle w:val="Sous-paragraphe"/>
        <w:numPr>
          <w:ilvl w:val="1"/>
          <w:numId w:val="1"/>
        </w:numPr>
        <w:tabs>
          <w:tab w:val="clear" w:pos="1000"/>
          <w:tab w:val="num" w:pos="1701"/>
        </w:tabs>
        <w:ind w:left="1701" w:hanging="992"/>
      </w:pPr>
      <w:r w:rsidRPr="000534E3">
        <w:t>Quels sont le mode et les modalités de recouvrement approprié?</w:t>
      </w:r>
    </w:p>
    <w:p w14:paraId="3BAC045A" w14:textId="77777777" w:rsidR="00E34FF2" w:rsidRDefault="00B2678F" w:rsidP="00E34FF2">
      <w:pPr>
        <w:pStyle w:val="Paragrsimple"/>
        <w:numPr>
          <w:ilvl w:val="0"/>
          <w:numId w:val="1"/>
        </w:numPr>
        <w:tabs>
          <w:tab w:val="clear" w:pos="360"/>
        </w:tabs>
      </w:pPr>
      <w:r w:rsidRPr="000534E3">
        <w:rPr>
          <w:b/>
          <w:bCs/>
        </w:rPr>
        <w:t>IDENTIFIE</w:t>
      </w:r>
      <w:r>
        <w:t xml:space="preserve"> comme suit les conclusions recherchées qui s’y rattachent :</w:t>
      </w:r>
    </w:p>
    <w:p w14:paraId="512FCD15" w14:textId="77777777" w:rsidR="00E34FF2" w:rsidRDefault="00B2678F" w:rsidP="00E34FF2">
      <w:pPr>
        <w:pStyle w:val="Sous-paragraphe"/>
        <w:numPr>
          <w:ilvl w:val="1"/>
          <w:numId w:val="1"/>
        </w:numPr>
        <w:tabs>
          <w:tab w:val="clear" w:pos="1000"/>
          <w:tab w:val="num" w:pos="1701"/>
        </w:tabs>
        <w:ind w:left="1701" w:hanging="992"/>
      </w:pPr>
      <w:r>
        <w:t xml:space="preserve">ACCUEILLIR l’action de la Demanderesse pour le compte des </w:t>
      </w:r>
      <w:r w:rsidR="00991630">
        <w:t>M</w:t>
      </w:r>
      <w:r>
        <w:t xml:space="preserve">embres de </w:t>
      </w:r>
      <w:r w:rsidR="002819FB">
        <w:t xml:space="preserve">Groupe </w:t>
      </w:r>
      <w:r>
        <w:t>visé;</w:t>
      </w:r>
    </w:p>
    <w:p w14:paraId="31DB770C" w14:textId="77777777" w:rsidR="00E34FF2" w:rsidRDefault="00B2678F" w:rsidP="00E34FF2">
      <w:pPr>
        <w:pStyle w:val="Sous-paragraphe"/>
        <w:numPr>
          <w:ilvl w:val="1"/>
          <w:numId w:val="1"/>
        </w:numPr>
        <w:tabs>
          <w:tab w:val="clear" w:pos="1000"/>
          <w:tab w:val="num" w:pos="1701"/>
        </w:tabs>
        <w:ind w:left="1701" w:hanging="992"/>
      </w:pPr>
      <w:r>
        <w:t xml:space="preserve">CONDAMNER </w:t>
      </w:r>
      <w:r w:rsidR="00474374">
        <w:t xml:space="preserve">solidairement </w:t>
      </w:r>
      <w:r>
        <w:t xml:space="preserve">les Défenderesses à payer à chacun des </w:t>
      </w:r>
      <w:r w:rsidR="002819FB">
        <w:t xml:space="preserve">Membres </w:t>
      </w:r>
      <w:r>
        <w:t xml:space="preserve">du </w:t>
      </w:r>
      <w:r w:rsidR="002819FB">
        <w:t xml:space="preserve">Groupe </w:t>
      </w:r>
      <w:r>
        <w:t xml:space="preserve">visé un montant à déterminer </w:t>
      </w:r>
      <w:r w:rsidR="00474374">
        <w:t xml:space="preserve">pour compenser </w:t>
      </w:r>
      <w:r>
        <w:t>l’atteinte à la réputation</w:t>
      </w:r>
      <w:r w:rsidR="00474374">
        <w:t>,</w:t>
      </w:r>
      <w:r>
        <w:t xml:space="preserve"> </w:t>
      </w:r>
      <w:r w:rsidR="00474374">
        <w:t>le</w:t>
      </w:r>
      <w:r>
        <w:t xml:space="preserve"> préjudice financier </w:t>
      </w:r>
      <w:r w:rsidR="00474374">
        <w:t xml:space="preserve">ainsi que les </w:t>
      </w:r>
      <w:r>
        <w:t xml:space="preserve">inconvénients </w:t>
      </w:r>
      <w:r w:rsidR="00474374">
        <w:t>subis par</w:t>
      </w:r>
      <w:r>
        <w:t xml:space="preserve"> l’ensemble </w:t>
      </w:r>
      <w:r w:rsidR="00474374">
        <w:t xml:space="preserve">des Membres du </w:t>
      </w:r>
      <w:r w:rsidR="006C038A">
        <w:t>G</w:t>
      </w:r>
      <w:r>
        <w:t>roupe visé, avec intérêts au taux légal majoré</w:t>
      </w:r>
      <w:r w:rsidR="00474374">
        <w:t>s</w:t>
      </w:r>
      <w:r>
        <w:t xml:space="preserve"> de l’indemnité additionnelle prévue à l’article 1619 C.c.Q., calculé</w:t>
      </w:r>
      <w:r w:rsidR="00474374">
        <w:t>s</w:t>
      </w:r>
      <w:r>
        <w:t xml:space="preserve"> à compter de l’assignation;</w:t>
      </w:r>
    </w:p>
    <w:p w14:paraId="4B72C7B9" w14:textId="77777777" w:rsidR="00E34FF2" w:rsidRDefault="00B2678F" w:rsidP="00E34FF2">
      <w:pPr>
        <w:pStyle w:val="Sous-paragraphe"/>
        <w:numPr>
          <w:ilvl w:val="1"/>
          <w:numId w:val="1"/>
        </w:numPr>
        <w:tabs>
          <w:tab w:val="clear" w:pos="1000"/>
          <w:tab w:val="num" w:pos="1701"/>
        </w:tabs>
        <w:ind w:left="1701" w:hanging="992"/>
      </w:pPr>
      <w:r>
        <w:t xml:space="preserve">CONDAMNER </w:t>
      </w:r>
      <w:r w:rsidR="00474374">
        <w:t xml:space="preserve">solidairement </w:t>
      </w:r>
      <w:r>
        <w:t xml:space="preserve">les Défenderesses à payer à chacun des </w:t>
      </w:r>
      <w:r w:rsidR="002819FB">
        <w:t>M</w:t>
      </w:r>
      <w:r>
        <w:t>embres du Groupe visé un montant à déterminer à titre de dommages</w:t>
      </w:r>
      <w:r w:rsidR="002819FB">
        <w:t>-</w:t>
      </w:r>
      <w:r>
        <w:t>intérêts punitifs, en raison des pratiques interdites et de la violation de leurs droits fondamentaux, avec intérêts au taux légal majoré</w:t>
      </w:r>
      <w:r w:rsidR="00474374">
        <w:t>s</w:t>
      </w:r>
      <w:r>
        <w:t xml:space="preserve"> de l’indemnité additionnelle prévue à l’article 1619 C.c.Q., calculé</w:t>
      </w:r>
      <w:r w:rsidR="00474374">
        <w:t>s</w:t>
      </w:r>
      <w:r>
        <w:t xml:space="preserve"> à compter de l’assignation;</w:t>
      </w:r>
    </w:p>
    <w:p w14:paraId="0D64DF2C" w14:textId="77777777" w:rsidR="00E34FF2" w:rsidRDefault="00B2678F" w:rsidP="00E34FF2">
      <w:pPr>
        <w:pStyle w:val="Sous-paragraphe"/>
        <w:numPr>
          <w:ilvl w:val="1"/>
          <w:numId w:val="1"/>
        </w:numPr>
        <w:tabs>
          <w:tab w:val="clear" w:pos="1000"/>
          <w:tab w:val="num" w:pos="1701"/>
        </w:tabs>
        <w:ind w:left="1701" w:hanging="992"/>
      </w:pPr>
      <w:r>
        <w:t>ORDONNER que les dommages précités fassent l’objet d’un recouvrement collectif;</w:t>
      </w:r>
    </w:p>
    <w:p w14:paraId="71D26217" w14:textId="77777777" w:rsidR="00E34FF2" w:rsidRDefault="00B2678F" w:rsidP="00E34FF2">
      <w:pPr>
        <w:pStyle w:val="Sous-paragraphe"/>
        <w:numPr>
          <w:ilvl w:val="1"/>
          <w:numId w:val="1"/>
        </w:numPr>
        <w:tabs>
          <w:tab w:val="clear" w:pos="1000"/>
          <w:tab w:val="num" w:pos="1701"/>
        </w:tabs>
        <w:ind w:left="1701" w:hanging="992"/>
      </w:pPr>
      <w:r>
        <w:t xml:space="preserve">ORDONNER que la réclamation de chacun des </w:t>
      </w:r>
      <w:r w:rsidR="002819FB">
        <w:t xml:space="preserve">Membres </w:t>
      </w:r>
      <w:r>
        <w:t>du Groupe visé et des sous-groupes fasse l’objet d’une liquidation collective</w:t>
      </w:r>
      <w:r w:rsidR="00474374">
        <w:t>,</w:t>
      </w:r>
      <w:r>
        <w:t xml:space="preserve"> incluant les dommages punitifs;</w:t>
      </w:r>
    </w:p>
    <w:p w14:paraId="2F09F4A8" w14:textId="77777777" w:rsidR="00E34FF2" w:rsidRDefault="00B2678F" w:rsidP="00E34FF2">
      <w:pPr>
        <w:pStyle w:val="Sous-paragraphe"/>
        <w:numPr>
          <w:ilvl w:val="1"/>
          <w:numId w:val="1"/>
        </w:numPr>
        <w:tabs>
          <w:tab w:val="clear" w:pos="1000"/>
          <w:tab w:val="num" w:pos="1701"/>
        </w:tabs>
        <w:ind w:left="1701" w:hanging="992"/>
      </w:pPr>
      <w:r>
        <w:t>CONDAMNER les Défenderesses à tout autre remède approprié, jugé juste et raisonnable;</w:t>
      </w:r>
    </w:p>
    <w:p w14:paraId="2BFBA4E1" w14:textId="77777777" w:rsidR="00E34FF2" w:rsidRDefault="00B2678F" w:rsidP="00E34FF2">
      <w:pPr>
        <w:pStyle w:val="Sous-paragraphe"/>
        <w:numPr>
          <w:ilvl w:val="1"/>
          <w:numId w:val="1"/>
        </w:numPr>
        <w:tabs>
          <w:tab w:val="clear" w:pos="1000"/>
          <w:tab w:val="num" w:pos="1701"/>
        </w:tabs>
        <w:ind w:left="1701" w:hanging="992"/>
      </w:pPr>
      <w:r>
        <w:t xml:space="preserve">CONDAMNER les Défenderesses aux frais de justice, y compris les frais d’experts et de publication d’avis aux </w:t>
      </w:r>
      <w:r w:rsidR="00991630">
        <w:t>M</w:t>
      </w:r>
      <w:r>
        <w:t>embres;</w:t>
      </w:r>
    </w:p>
    <w:p w14:paraId="6FF10907" w14:textId="77777777" w:rsidR="00E34FF2" w:rsidRDefault="00B2678F" w:rsidP="00E34FF2">
      <w:pPr>
        <w:pStyle w:val="Paragrsimple"/>
        <w:numPr>
          <w:ilvl w:val="0"/>
          <w:numId w:val="1"/>
        </w:numPr>
        <w:tabs>
          <w:tab w:val="clear" w:pos="360"/>
        </w:tabs>
      </w:pPr>
      <w:r w:rsidRPr="000534E3">
        <w:rPr>
          <w:b/>
          <w:bCs/>
        </w:rPr>
        <w:t>IDENTIFIE</w:t>
      </w:r>
      <w:r>
        <w:t xml:space="preserve"> comme suit la principale question individuelle à chacun des </w:t>
      </w:r>
      <w:r w:rsidR="002819FB">
        <w:t>Membres </w:t>
      </w:r>
      <w:r>
        <w:t>:</w:t>
      </w:r>
    </w:p>
    <w:p w14:paraId="0CF441B7" w14:textId="77777777" w:rsidR="00E34FF2" w:rsidRDefault="00B2678F" w:rsidP="00E34FF2">
      <w:pPr>
        <w:pStyle w:val="Sous-paragraphe"/>
        <w:numPr>
          <w:ilvl w:val="1"/>
          <w:numId w:val="1"/>
        </w:numPr>
        <w:tabs>
          <w:tab w:val="clear" w:pos="1000"/>
          <w:tab w:val="num" w:pos="1701"/>
        </w:tabs>
        <w:ind w:left="1701" w:hanging="992"/>
      </w:pPr>
      <w:r>
        <w:t>Quel est le montant des dommages individuels?</w:t>
      </w:r>
    </w:p>
    <w:p w14:paraId="1189B9D0" w14:textId="77777777" w:rsidR="00E34FF2" w:rsidRDefault="00B2678F" w:rsidP="00E34FF2">
      <w:pPr>
        <w:pStyle w:val="Paragrsimple"/>
        <w:numPr>
          <w:ilvl w:val="0"/>
          <w:numId w:val="1"/>
        </w:numPr>
        <w:tabs>
          <w:tab w:val="clear" w:pos="360"/>
        </w:tabs>
      </w:pPr>
      <w:r w:rsidRPr="000534E3">
        <w:rPr>
          <w:b/>
          <w:bCs/>
        </w:rPr>
        <w:t>DÉCLARE</w:t>
      </w:r>
      <w:r>
        <w:t xml:space="preserve"> qu’à moins d’exclusion, les </w:t>
      </w:r>
      <w:r w:rsidR="00991630">
        <w:t>M</w:t>
      </w:r>
      <w:r>
        <w:t>embres seront liés par tout jugement à intervenir sur l’action collective de la manière prévue par la Loi;</w:t>
      </w:r>
    </w:p>
    <w:p w14:paraId="6BAA1A1B" w14:textId="77777777" w:rsidR="00E34FF2" w:rsidRPr="000534E3" w:rsidRDefault="00B2678F" w:rsidP="00E34FF2">
      <w:pPr>
        <w:pStyle w:val="Paragrsimple"/>
        <w:numPr>
          <w:ilvl w:val="0"/>
          <w:numId w:val="1"/>
        </w:numPr>
        <w:tabs>
          <w:tab w:val="clear" w:pos="360"/>
        </w:tabs>
      </w:pPr>
      <w:r w:rsidRPr="000534E3">
        <w:rPr>
          <w:b/>
          <w:bCs/>
        </w:rPr>
        <w:t>DEMANDE</w:t>
      </w:r>
      <w:r w:rsidRPr="000534E3">
        <w:t xml:space="preserve"> aux parties de se consulter afin de saisir le </w:t>
      </w:r>
      <w:r w:rsidR="00474374">
        <w:t>T</w:t>
      </w:r>
      <w:r w:rsidR="00474374" w:rsidRPr="000534E3">
        <w:t xml:space="preserve">ribunal </w:t>
      </w:r>
      <w:r w:rsidRPr="000534E3">
        <w:t xml:space="preserve">d’une demande pour approuver les avis à être transmis aux </w:t>
      </w:r>
      <w:r w:rsidR="00991630">
        <w:t>M</w:t>
      </w:r>
      <w:r w:rsidRPr="000534E3">
        <w:t xml:space="preserve">embres en vertu de l'article 579 du </w:t>
      </w:r>
      <w:r w:rsidRPr="000534E3">
        <w:rPr>
          <w:i/>
          <w:iCs/>
        </w:rPr>
        <w:t>Code de procédure civile</w:t>
      </w:r>
      <w:r w:rsidRPr="000534E3">
        <w:t xml:space="preserve">, établir le meilleur moyen de transmettre ces avis et le délai approprié afin qu’un </w:t>
      </w:r>
      <w:r w:rsidR="00991630">
        <w:t>M</w:t>
      </w:r>
      <w:r w:rsidRPr="000534E3">
        <w:t xml:space="preserve">embre du </w:t>
      </w:r>
      <w:r w:rsidR="006C038A">
        <w:t>G</w:t>
      </w:r>
      <w:r w:rsidRPr="000534E3">
        <w:t>roupe demande l’exclusion, et ce, dans les 60 jours du présent jugement;</w:t>
      </w:r>
    </w:p>
    <w:p w14:paraId="77B86AD4" w14:textId="77777777" w:rsidR="00D47A26" w:rsidRPr="00772542" w:rsidRDefault="00B2678F" w:rsidP="005E2A8B">
      <w:pPr>
        <w:pStyle w:val="Paragraphe"/>
        <w:keepNext/>
        <w:numPr>
          <w:ilvl w:val="0"/>
          <w:numId w:val="1"/>
        </w:numPr>
        <w:tabs>
          <w:tab w:val="clear" w:pos="360"/>
          <w:tab w:val="clear" w:pos="618"/>
        </w:tabs>
        <w:spacing w:line="240" w:lineRule="auto"/>
      </w:pPr>
      <w:r w:rsidRPr="000534E3">
        <w:rPr>
          <w:b/>
          <w:bCs/>
        </w:rPr>
        <w:t>LE TOUT</w:t>
      </w:r>
      <w:r>
        <w:t>, avec frais de justice.</w:t>
      </w:r>
    </w:p>
    <w:p w14:paraId="78E72BF1" w14:textId="77777777" w:rsidR="00772542" w:rsidRDefault="00772542" w:rsidP="005E2A8B">
      <w:pPr>
        <w:pStyle w:val="Paragrdouble"/>
        <w:keepNext/>
        <w:numPr>
          <w:ilvl w:val="0"/>
          <w:numId w:val="0"/>
        </w:numPr>
        <w:spacing w:line="240" w:lineRule="auto"/>
      </w:pPr>
    </w:p>
    <w:p w14:paraId="578DB02A" w14:textId="77777777" w:rsidR="00D713AF" w:rsidRPr="00772542" w:rsidRDefault="00D713AF" w:rsidP="005E2A8B">
      <w:pPr>
        <w:pStyle w:val="Paragrdouble"/>
        <w:keepNext/>
        <w:numPr>
          <w:ilvl w:val="0"/>
          <w:numId w:val="0"/>
        </w:numPr>
        <w:spacing w:line="240" w:lineRule="auto"/>
      </w:pPr>
    </w:p>
    <w:tbl>
      <w:tblPr>
        <w:tblW w:w="9505" w:type="dxa"/>
        <w:tblLayout w:type="fixed"/>
        <w:tblCellMar>
          <w:left w:w="70" w:type="dxa"/>
          <w:right w:w="70" w:type="dxa"/>
        </w:tblCellMar>
        <w:tblLook w:val="0000" w:firstRow="0" w:lastRow="0" w:firstColumn="0" w:lastColumn="0" w:noHBand="0" w:noVBand="0"/>
      </w:tblPr>
      <w:tblGrid>
        <w:gridCol w:w="2197"/>
        <w:gridCol w:w="2670"/>
        <w:gridCol w:w="4638"/>
      </w:tblGrid>
      <w:tr w:rsidR="00352D71" w14:paraId="73449FA5" w14:textId="77777777" w:rsidTr="00BA153A">
        <w:trPr>
          <w:trHeight w:val="576"/>
        </w:trPr>
        <w:tc>
          <w:tcPr>
            <w:tcW w:w="9505" w:type="dxa"/>
            <w:gridSpan w:val="3"/>
          </w:tcPr>
          <w:p w14:paraId="71AC1F96" w14:textId="77777777" w:rsidR="00121A72" w:rsidRDefault="00121A72" w:rsidP="005E2A8B">
            <w:pPr>
              <w:keepNext/>
              <w:keepLines/>
            </w:pPr>
          </w:p>
        </w:tc>
      </w:tr>
      <w:tr w:rsidR="00352D71" w14:paraId="2E74126C" w14:textId="77777777" w:rsidTr="00BA153A">
        <w:tblPrEx>
          <w:tblCellMar>
            <w:left w:w="0" w:type="dxa"/>
            <w:right w:w="0" w:type="dxa"/>
          </w:tblCellMar>
        </w:tblPrEx>
        <w:trPr>
          <w:cantSplit/>
        </w:trPr>
        <w:tc>
          <w:tcPr>
            <w:tcW w:w="4867" w:type="dxa"/>
            <w:gridSpan w:val="2"/>
          </w:tcPr>
          <w:p w14:paraId="2AAD7B59" w14:textId="77777777" w:rsidR="00121A72" w:rsidRDefault="00121A72" w:rsidP="005E2A8B">
            <w:pPr>
              <w:keepNext/>
            </w:pPr>
          </w:p>
        </w:tc>
        <w:tc>
          <w:tcPr>
            <w:tcW w:w="4638" w:type="dxa"/>
          </w:tcPr>
          <w:p w14:paraId="5C61C94A" w14:textId="77777777" w:rsidR="00121A72" w:rsidRPr="002557BA" w:rsidRDefault="00B2678F" w:rsidP="005E2A8B">
            <w:pPr>
              <w:pStyle w:val="zSoquijdatSignature3Juge"/>
              <w:keepNext/>
              <w:rPr>
                <w:lang w:val="en-CA"/>
              </w:rPr>
            </w:pPr>
            <w:r w:rsidRPr="002557BA">
              <w:rPr>
                <w:lang w:val="en-CA"/>
              </w:rPr>
              <w:t>___</w:t>
            </w:r>
            <w:r w:rsidR="00F4770B" w:rsidRPr="002557BA">
              <w:rPr>
                <w:lang w:val="en-CA"/>
              </w:rPr>
              <w:t>_______________________________</w:t>
            </w:r>
            <w:r w:rsidR="002557BA" w:rsidRPr="002557BA">
              <w:rPr>
                <w:lang w:val="en-CA"/>
              </w:rPr>
              <w:t>MARTIN F. SHEEHAN,</w:t>
            </w:r>
            <w:r w:rsidR="002557BA" w:rsidRPr="002557BA">
              <w:rPr>
                <w:caps/>
                <w:lang w:val="en-CA"/>
              </w:rPr>
              <w:t xml:space="preserve"> </w:t>
            </w:r>
            <w:r w:rsidR="00CE5A4C" w:rsidRPr="002557BA">
              <w:rPr>
                <w:caps/>
                <w:lang w:val="en-CA"/>
              </w:rPr>
              <w:t>j.c.s.</w:t>
            </w:r>
          </w:p>
        </w:tc>
      </w:tr>
      <w:tr w:rsidR="00352D71" w14:paraId="58A97C40" w14:textId="77777777" w:rsidTr="00BA153A">
        <w:tc>
          <w:tcPr>
            <w:tcW w:w="9505" w:type="dxa"/>
            <w:gridSpan w:val="3"/>
          </w:tcPr>
          <w:p w14:paraId="35F37A59" w14:textId="77777777" w:rsidR="00121A72" w:rsidRPr="002557BA" w:rsidRDefault="00121A72" w:rsidP="00D26929">
            <w:pPr>
              <w:rPr>
                <w:lang w:val="en-CA"/>
              </w:rPr>
            </w:pPr>
          </w:p>
        </w:tc>
      </w:tr>
      <w:tr w:rsidR="00352D71" w14:paraId="0B1F9010" w14:textId="77777777" w:rsidTr="00BA153A">
        <w:trPr>
          <w:cantSplit/>
        </w:trPr>
        <w:tc>
          <w:tcPr>
            <w:tcW w:w="9505" w:type="dxa"/>
            <w:gridSpan w:val="3"/>
          </w:tcPr>
          <w:p w14:paraId="79108DDF" w14:textId="77777777" w:rsidR="002557BA" w:rsidRPr="002557BA" w:rsidRDefault="00B2678F" w:rsidP="005E2A8B">
            <w:pPr>
              <w:pStyle w:val="zSoquijdatNomProcureurDem"/>
              <w:keepNext/>
              <w:rPr>
                <w:szCs w:val="24"/>
              </w:rPr>
            </w:pPr>
            <w:r w:rsidRPr="002557BA">
              <w:rPr>
                <w:rFonts w:cs="Arial"/>
                <w:szCs w:val="24"/>
              </w:rPr>
              <w:t>M</w:t>
            </w:r>
            <w:r w:rsidRPr="002557BA">
              <w:rPr>
                <w:rFonts w:cs="Arial"/>
                <w:szCs w:val="24"/>
                <w:vertAlign w:val="superscript"/>
              </w:rPr>
              <w:t>e</w:t>
            </w:r>
            <w:r w:rsidRPr="002557BA">
              <w:rPr>
                <w:rFonts w:cs="Arial"/>
                <w:szCs w:val="24"/>
              </w:rPr>
              <w:t xml:space="preserve"> Gérard Samet</w:t>
            </w:r>
          </w:p>
        </w:tc>
      </w:tr>
      <w:tr w:rsidR="00352D71" w14:paraId="25FA9236" w14:textId="77777777" w:rsidTr="00BA153A">
        <w:trPr>
          <w:cantSplit/>
        </w:trPr>
        <w:tc>
          <w:tcPr>
            <w:tcW w:w="9505" w:type="dxa"/>
            <w:gridSpan w:val="3"/>
          </w:tcPr>
          <w:p w14:paraId="54E66697" w14:textId="77777777" w:rsidR="002557BA" w:rsidRPr="002557BA" w:rsidRDefault="00B2678F" w:rsidP="005E2A8B">
            <w:pPr>
              <w:pStyle w:val="zSoquijdatCabinetProcureurDem"/>
              <w:keepNext/>
              <w:rPr>
                <w:szCs w:val="24"/>
              </w:rPr>
            </w:pPr>
            <w:r w:rsidRPr="002557BA">
              <w:rPr>
                <w:rFonts w:cs="Arial"/>
                <w:b/>
                <w:bCs/>
                <w:smallCaps/>
                <w:szCs w:val="24"/>
                <w:lang w:val="en-CA"/>
              </w:rPr>
              <w:t>Gérard Samet avocat</w:t>
            </w:r>
          </w:p>
        </w:tc>
      </w:tr>
      <w:tr w:rsidR="00352D71" w14:paraId="4A31D2BF" w14:textId="77777777" w:rsidTr="00BA153A">
        <w:trPr>
          <w:cantSplit/>
        </w:trPr>
        <w:tc>
          <w:tcPr>
            <w:tcW w:w="9505" w:type="dxa"/>
            <w:gridSpan w:val="3"/>
          </w:tcPr>
          <w:p w14:paraId="18C7F5EA" w14:textId="77777777" w:rsidR="00121A72" w:rsidRDefault="00B2678F" w:rsidP="005E2A8B">
            <w:pPr>
              <w:pStyle w:val="zSoquijlblProcureurDem"/>
              <w:keepNext/>
            </w:pPr>
            <w:r>
              <w:t>et</w:t>
            </w:r>
          </w:p>
        </w:tc>
      </w:tr>
      <w:tr w:rsidR="00352D71" w14:paraId="57E85DE1" w14:textId="77777777" w:rsidTr="00BA153A">
        <w:trPr>
          <w:cantSplit/>
        </w:trPr>
        <w:tc>
          <w:tcPr>
            <w:tcW w:w="9505" w:type="dxa"/>
            <w:gridSpan w:val="3"/>
          </w:tcPr>
          <w:p w14:paraId="746EC0D3" w14:textId="77777777" w:rsidR="002557BA" w:rsidRDefault="00B2678F" w:rsidP="005E2A8B">
            <w:pPr>
              <w:pStyle w:val="zSoquijlblProcureurDem"/>
              <w:keepNext/>
            </w:pPr>
            <w:r w:rsidRPr="002557BA">
              <w:t>M</w:t>
            </w:r>
            <w:r w:rsidRPr="002557BA">
              <w:rPr>
                <w:vertAlign w:val="superscript"/>
              </w:rPr>
              <w:t>e</w:t>
            </w:r>
            <w:r w:rsidRPr="002557BA">
              <w:t xml:space="preserve"> Robert Astell</w:t>
            </w:r>
          </w:p>
        </w:tc>
      </w:tr>
      <w:tr w:rsidR="00352D71" w14:paraId="5C2614FC" w14:textId="77777777" w:rsidTr="00BA153A">
        <w:trPr>
          <w:cantSplit/>
        </w:trPr>
        <w:tc>
          <w:tcPr>
            <w:tcW w:w="9505" w:type="dxa"/>
            <w:gridSpan w:val="3"/>
          </w:tcPr>
          <w:p w14:paraId="08666B11" w14:textId="77777777" w:rsidR="00E34FF2" w:rsidRPr="002557BA" w:rsidRDefault="00B2678F" w:rsidP="005E2A8B">
            <w:pPr>
              <w:pStyle w:val="zSoquijlblProcureurDem"/>
              <w:keepNext/>
            </w:pPr>
            <w:r w:rsidRPr="00E34FF2">
              <w:t>M</w:t>
            </w:r>
            <w:r w:rsidRPr="00E34FF2">
              <w:rPr>
                <w:vertAlign w:val="superscript"/>
              </w:rPr>
              <w:t>e</w:t>
            </w:r>
            <w:r w:rsidRPr="00E34FF2">
              <w:t xml:space="preserve"> Victoria Ngoy Kalumba</w:t>
            </w:r>
          </w:p>
        </w:tc>
      </w:tr>
      <w:tr w:rsidR="00352D71" w14:paraId="64818D19" w14:textId="77777777" w:rsidTr="00BA153A">
        <w:trPr>
          <w:cantSplit/>
        </w:trPr>
        <w:tc>
          <w:tcPr>
            <w:tcW w:w="9505" w:type="dxa"/>
            <w:gridSpan w:val="3"/>
          </w:tcPr>
          <w:p w14:paraId="3BFFEF06" w14:textId="77777777" w:rsidR="002557BA" w:rsidRDefault="00B2678F" w:rsidP="005E2A8B">
            <w:pPr>
              <w:pStyle w:val="ng-scope"/>
              <w:keepNext/>
              <w:shd w:val="clear" w:color="auto" w:fill="FFFFFF"/>
              <w:spacing w:before="0" w:beforeAutospacing="0" w:after="0" w:afterAutospacing="0"/>
              <w:ind w:right="-300"/>
            </w:pPr>
            <w:r w:rsidRPr="002557BA">
              <w:rPr>
                <w:rFonts w:ascii="Arial" w:hAnsi="Arial" w:cs="Arial"/>
                <w:b/>
                <w:bCs/>
                <w:smallCaps/>
              </w:rPr>
              <w:t>Astell &amp; Associés avocats</w:t>
            </w:r>
          </w:p>
        </w:tc>
      </w:tr>
      <w:tr w:rsidR="00352D71" w14:paraId="2B1BFF70" w14:textId="77777777" w:rsidTr="00BA153A">
        <w:trPr>
          <w:cantSplit/>
        </w:trPr>
        <w:tc>
          <w:tcPr>
            <w:tcW w:w="9505" w:type="dxa"/>
            <w:gridSpan w:val="3"/>
          </w:tcPr>
          <w:p w14:paraId="590EE2B4" w14:textId="77777777" w:rsidR="002557BA" w:rsidRDefault="00B2678F" w:rsidP="005E2A8B">
            <w:pPr>
              <w:pStyle w:val="zSoquijlblProcureurDem"/>
              <w:keepNext/>
            </w:pPr>
            <w:r>
              <w:t>Avocats de la demanderesse</w:t>
            </w:r>
          </w:p>
        </w:tc>
      </w:tr>
      <w:tr w:rsidR="00352D71" w14:paraId="1FC1E2A2" w14:textId="77777777" w:rsidTr="00BA153A">
        <w:trPr>
          <w:cantSplit/>
        </w:trPr>
        <w:tc>
          <w:tcPr>
            <w:tcW w:w="9505" w:type="dxa"/>
            <w:gridSpan w:val="3"/>
          </w:tcPr>
          <w:p w14:paraId="6C2342AD" w14:textId="77777777" w:rsidR="002557BA" w:rsidRDefault="002557BA" w:rsidP="00D26929">
            <w:pPr>
              <w:pStyle w:val="zSoquijlblProcureurDem"/>
            </w:pPr>
          </w:p>
        </w:tc>
      </w:tr>
      <w:tr w:rsidR="00352D71" w14:paraId="26202789" w14:textId="77777777" w:rsidTr="00BA153A">
        <w:trPr>
          <w:cantSplit/>
        </w:trPr>
        <w:tc>
          <w:tcPr>
            <w:tcW w:w="9505" w:type="dxa"/>
            <w:gridSpan w:val="3"/>
          </w:tcPr>
          <w:p w14:paraId="6C201706" w14:textId="77777777" w:rsidR="00121A72" w:rsidRDefault="00B2678F" w:rsidP="00D26929">
            <w:r>
              <w:t>M</w:t>
            </w:r>
            <w:r w:rsidRPr="002557BA">
              <w:rPr>
                <w:vertAlign w:val="superscript"/>
              </w:rPr>
              <w:t>e</w:t>
            </w:r>
            <w:r>
              <w:t xml:space="preserve"> Isabelle Vendette</w:t>
            </w:r>
          </w:p>
        </w:tc>
      </w:tr>
      <w:tr w:rsidR="00352D71" w14:paraId="2AAC4849" w14:textId="77777777" w:rsidTr="00BA153A">
        <w:trPr>
          <w:cantSplit/>
        </w:trPr>
        <w:tc>
          <w:tcPr>
            <w:tcW w:w="9505" w:type="dxa"/>
            <w:gridSpan w:val="3"/>
          </w:tcPr>
          <w:p w14:paraId="3A996B0B" w14:textId="77777777" w:rsidR="00121A72" w:rsidRDefault="00B2678F" w:rsidP="002557BA">
            <w:pPr>
              <w:pStyle w:val="ng-scope"/>
              <w:shd w:val="clear" w:color="auto" w:fill="FFFFFF"/>
              <w:spacing w:before="0" w:beforeAutospacing="0" w:after="0" w:afterAutospacing="0"/>
              <w:ind w:right="-300"/>
            </w:pPr>
            <w:r w:rsidRPr="002557BA">
              <w:rPr>
                <w:rFonts w:ascii="Arial" w:hAnsi="Arial" w:cs="Arial"/>
              </w:rPr>
              <w:t>M</w:t>
            </w:r>
            <w:r w:rsidRPr="002557BA">
              <w:rPr>
                <w:rFonts w:ascii="Arial" w:hAnsi="Arial" w:cs="Arial"/>
                <w:vertAlign w:val="superscript"/>
              </w:rPr>
              <w:t>e</w:t>
            </w:r>
            <w:r w:rsidRPr="002557BA">
              <w:rPr>
                <w:rFonts w:ascii="Arial" w:hAnsi="Arial" w:cs="Arial"/>
              </w:rPr>
              <w:t xml:space="preserve"> Morgane Palau</w:t>
            </w:r>
          </w:p>
        </w:tc>
      </w:tr>
      <w:tr w:rsidR="00352D71" w14:paraId="600E7FCE" w14:textId="77777777" w:rsidTr="00BA153A">
        <w:trPr>
          <w:cantSplit/>
        </w:trPr>
        <w:tc>
          <w:tcPr>
            <w:tcW w:w="9505" w:type="dxa"/>
            <w:gridSpan w:val="3"/>
          </w:tcPr>
          <w:p w14:paraId="2E5DD058" w14:textId="77777777" w:rsidR="002557BA" w:rsidRPr="002557BA" w:rsidRDefault="00B2678F" w:rsidP="002557BA">
            <w:pPr>
              <w:pStyle w:val="zSoquijdatCabinetProcureurDef"/>
              <w:rPr>
                <w:szCs w:val="24"/>
              </w:rPr>
            </w:pPr>
            <w:r w:rsidRPr="002557BA">
              <w:rPr>
                <w:rFonts w:cs="Arial"/>
                <w:szCs w:val="24"/>
              </w:rPr>
              <w:t>M</w:t>
            </w:r>
            <w:r w:rsidRPr="002557BA">
              <w:rPr>
                <w:rFonts w:cs="Arial"/>
                <w:szCs w:val="24"/>
                <w:vertAlign w:val="superscript"/>
              </w:rPr>
              <w:t>e</w:t>
            </w:r>
            <w:r w:rsidRPr="002557BA">
              <w:rPr>
                <w:rFonts w:cs="Arial"/>
                <w:szCs w:val="24"/>
              </w:rPr>
              <w:t xml:space="preserve"> Simon Bouthillier</w:t>
            </w:r>
          </w:p>
        </w:tc>
      </w:tr>
      <w:tr w:rsidR="00352D71" w14:paraId="5BD89B57" w14:textId="77777777" w:rsidTr="00BA153A">
        <w:trPr>
          <w:cantSplit/>
        </w:trPr>
        <w:tc>
          <w:tcPr>
            <w:tcW w:w="9505" w:type="dxa"/>
            <w:gridSpan w:val="3"/>
          </w:tcPr>
          <w:p w14:paraId="2749F8C0" w14:textId="77777777" w:rsidR="002557BA" w:rsidRPr="002557BA" w:rsidRDefault="00B2678F" w:rsidP="002557BA">
            <w:pPr>
              <w:pStyle w:val="zSoquijlblProcureurDef"/>
              <w:rPr>
                <w:szCs w:val="24"/>
              </w:rPr>
            </w:pPr>
            <w:r w:rsidRPr="002557BA">
              <w:rPr>
                <w:rFonts w:cs="Arial"/>
                <w:b/>
                <w:bCs/>
                <w:smallCaps/>
                <w:szCs w:val="24"/>
              </w:rPr>
              <w:t>McCarthy Tétrault s.e.n.c.r.l., s.r.l.</w:t>
            </w:r>
          </w:p>
        </w:tc>
      </w:tr>
      <w:tr w:rsidR="00352D71" w14:paraId="797E3CA6" w14:textId="77777777" w:rsidTr="00BA153A">
        <w:trPr>
          <w:cantSplit/>
        </w:trPr>
        <w:tc>
          <w:tcPr>
            <w:tcW w:w="9505" w:type="dxa"/>
            <w:gridSpan w:val="3"/>
          </w:tcPr>
          <w:p w14:paraId="1FCC3E49" w14:textId="77777777" w:rsidR="002557BA" w:rsidRPr="002557BA" w:rsidRDefault="00B2678F" w:rsidP="002557BA">
            <w:pPr>
              <w:pStyle w:val="zSoquijlblProcureurDef"/>
              <w:rPr>
                <w:rFonts w:cs="Arial"/>
                <w:szCs w:val="24"/>
              </w:rPr>
            </w:pPr>
            <w:r>
              <w:rPr>
                <w:rFonts w:cs="Arial"/>
                <w:szCs w:val="24"/>
              </w:rPr>
              <w:t>Avocats des défenderesses</w:t>
            </w:r>
          </w:p>
        </w:tc>
      </w:tr>
      <w:tr w:rsidR="00352D71" w14:paraId="71A2C7F0" w14:textId="77777777" w:rsidTr="00BA153A">
        <w:trPr>
          <w:cantSplit/>
        </w:trPr>
        <w:tc>
          <w:tcPr>
            <w:tcW w:w="9505" w:type="dxa"/>
            <w:gridSpan w:val="3"/>
          </w:tcPr>
          <w:p w14:paraId="7AE9AD1A" w14:textId="77777777" w:rsidR="002557BA" w:rsidRPr="002557BA" w:rsidRDefault="002557BA" w:rsidP="002557BA">
            <w:pPr>
              <w:pStyle w:val="zSoquijlblProcureurDef"/>
              <w:rPr>
                <w:rFonts w:cs="Arial"/>
                <w:szCs w:val="24"/>
              </w:rPr>
            </w:pPr>
          </w:p>
        </w:tc>
      </w:tr>
      <w:tr w:rsidR="00352D71" w14:paraId="1B54F59A" w14:textId="77777777" w:rsidTr="00BA153A">
        <w:tc>
          <w:tcPr>
            <w:tcW w:w="9505" w:type="dxa"/>
            <w:gridSpan w:val="3"/>
          </w:tcPr>
          <w:p w14:paraId="0CDD2805" w14:textId="77777777" w:rsidR="00121A72" w:rsidRDefault="00121A72" w:rsidP="00D26929"/>
        </w:tc>
      </w:tr>
      <w:tr w:rsidR="00352D71" w14:paraId="6B51ECA7" w14:textId="77777777" w:rsidTr="00BA153A">
        <w:tc>
          <w:tcPr>
            <w:tcW w:w="2197" w:type="dxa"/>
          </w:tcPr>
          <w:p w14:paraId="255EC7C0" w14:textId="77777777" w:rsidR="00121A72" w:rsidRDefault="00B2678F" w:rsidP="00D26929">
            <w:pPr>
              <w:pStyle w:val="zSoquijlblDateAudience"/>
            </w:pPr>
            <w:r>
              <w:t>Date d’audience :</w:t>
            </w:r>
          </w:p>
        </w:tc>
        <w:tc>
          <w:tcPr>
            <w:tcW w:w="7308" w:type="dxa"/>
            <w:gridSpan w:val="2"/>
          </w:tcPr>
          <w:p w14:paraId="4021CA12" w14:textId="77777777" w:rsidR="00121A72" w:rsidRDefault="00B2678F" w:rsidP="00D26929">
            <w:pPr>
              <w:pStyle w:val="zSoquijdatDateAudience"/>
            </w:pPr>
            <w:r>
              <w:t>1</w:t>
            </w:r>
            <w:r w:rsidRPr="00E34FF2">
              <w:rPr>
                <w:vertAlign w:val="superscript"/>
              </w:rPr>
              <w:t>er</w:t>
            </w:r>
            <w:r>
              <w:t xml:space="preserve"> avril 2026</w:t>
            </w:r>
          </w:p>
        </w:tc>
      </w:tr>
    </w:tbl>
    <w:p w14:paraId="40F0B3E3" w14:textId="77777777" w:rsidR="00121A72" w:rsidRDefault="00121A72" w:rsidP="00D26929"/>
    <w:sectPr w:rsidR="00121A72" w:rsidSect="000A6297">
      <w:headerReference w:type="default" r:id="rId8"/>
      <w:footerReference w:type="even" r:id="rId9"/>
      <w:footnotePr>
        <w:numRestart w:val="eachSect"/>
      </w:footnotePr>
      <w:pgSz w:w="12242" w:h="15842" w:code="1"/>
      <w:pgMar w:top="1440" w:right="1009" w:bottom="1134" w:left="1871" w:header="1440" w:footer="79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25D6" w14:textId="77777777" w:rsidR="00B2678F" w:rsidRDefault="00B2678F">
      <w:r>
        <w:separator/>
      </w:r>
    </w:p>
  </w:endnote>
  <w:endnote w:type="continuationSeparator" w:id="0">
    <w:p w14:paraId="3FA28278" w14:textId="77777777" w:rsidR="00B2678F" w:rsidRDefault="00B2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0447" w14:textId="77777777" w:rsidR="00121A72" w:rsidRDefault="00B2678F">
    <w:pPr>
      <w:framePr w:wrap="around" w:vAnchor="text" w:hAnchor="margin" w:xAlign="right" w:y="1"/>
    </w:pPr>
    <w:r>
      <w:fldChar w:fldCharType="begin"/>
    </w:r>
    <w:r>
      <w:instrText xml:space="preserve">PAGE  </w:instrText>
    </w:r>
    <w:r>
      <w:fldChar w:fldCharType="separate"/>
    </w:r>
    <w:r>
      <w:fldChar w:fldCharType="end"/>
    </w:r>
  </w:p>
  <w:p w14:paraId="58AD1359" w14:textId="77777777" w:rsidR="00121A72" w:rsidRDefault="00121A7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EDE8" w14:textId="77777777" w:rsidR="00367BE9" w:rsidRDefault="00B2678F">
      <w:r>
        <w:separator/>
      </w:r>
    </w:p>
  </w:footnote>
  <w:footnote w:type="continuationSeparator" w:id="0">
    <w:p w14:paraId="3A4F0472" w14:textId="77777777" w:rsidR="00367BE9" w:rsidRDefault="00B2678F">
      <w:r>
        <w:continuationSeparator/>
      </w:r>
    </w:p>
  </w:footnote>
  <w:footnote w:id="1">
    <w:p w14:paraId="3AFF7F03" w14:textId="77777777" w:rsidR="00E34FF2" w:rsidRPr="00D038DA" w:rsidRDefault="00B2678F" w:rsidP="00E34FF2">
      <w:pPr>
        <w:pStyle w:val="Notedebasdepage"/>
        <w:rPr>
          <w:lang w:val="en-CA"/>
        </w:rPr>
      </w:pPr>
      <w:r>
        <w:rPr>
          <w:rStyle w:val="Appelnotedebasdep"/>
        </w:rPr>
        <w:footnoteRef/>
      </w:r>
      <w:r w:rsidRPr="00D038DA">
        <w:rPr>
          <w:lang w:val="en-CA"/>
        </w:rPr>
        <w:t xml:space="preserve"> </w:t>
      </w:r>
      <w:r w:rsidRPr="00D038DA">
        <w:rPr>
          <w:lang w:val="en-CA"/>
        </w:rPr>
        <w:tab/>
      </w:r>
      <w:r w:rsidRPr="00D038DA">
        <w:rPr>
          <w:i/>
          <w:iCs/>
          <w:lang w:val="en-CA"/>
        </w:rPr>
        <w:t xml:space="preserve">Barrette </w:t>
      </w:r>
      <w:r w:rsidRPr="005E2A8B">
        <w:rPr>
          <w:lang w:val="en-CA"/>
        </w:rPr>
        <w:t>c.</w:t>
      </w:r>
      <w:r w:rsidRPr="00D038DA">
        <w:rPr>
          <w:i/>
          <w:iCs/>
          <w:lang w:val="en-CA"/>
        </w:rPr>
        <w:t xml:space="preserve"> Facebook Canada Ltd.</w:t>
      </w:r>
      <w:r w:rsidRPr="00D038DA">
        <w:rPr>
          <w:lang w:val="en-CA"/>
        </w:rPr>
        <w:t>, 2025 QCCS 1790</w:t>
      </w:r>
      <w:r>
        <w:rPr>
          <w:lang w:val="en-CA"/>
        </w:rPr>
        <w:t>.</w:t>
      </w:r>
    </w:p>
  </w:footnote>
  <w:footnote w:id="2">
    <w:p w14:paraId="76B86D14" w14:textId="77777777" w:rsidR="00E34FF2" w:rsidRDefault="00B2678F" w:rsidP="00E34FF2">
      <w:pPr>
        <w:pStyle w:val="Notedebasdepage"/>
      </w:pPr>
      <w:r>
        <w:rPr>
          <w:rStyle w:val="Appelnotedebasdep"/>
        </w:rPr>
        <w:footnoteRef/>
      </w:r>
      <w:r>
        <w:t xml:space="preserve"> </w:t>
      </w:r>
      <w:r>
        <w:tab/>
        <w:t xml:space="preserve">Demande d’autorisation, </w:t>
      </w:r>
      <w:r w:rsidRPr="000D4216">
        <w:t>par</w:t>
      </w:r>
      <w:r>
        <w:t>. 7</w:t>
      </w:r>
      <w:r w:rsidR="00485C61">
        <w:t xml:space="preserve"> et</w:t>
      </w:r>
      <w:r>
        <w:t xml:space="preserve"> </w:t>
      </w:r>
      <w:r w:rsidRPr="000D4216">
        <w:t>17 à 28</w:t>
      </w:r>
      <w:r w:rsidR="00485C61">
        <w:t>;</w:t>
      </w:r>
      <w:r w:rsidRPr="000D4216">
        <w:t xml:space="preserve"> pièce P-1, p. 6 à 11</w:t>
      </w:r>
      <w:r>
        <w:t>.</w:t>
      </w:r>
    </w:p>
  </w:footnote>
  <w:footnote w:id="3">
    <w:p w14:paraId="1C3D940D" w14:textId="77777777" w:rsidR="00E34FF2" w:rsidRDefault="00B2678F" w:rsidP="00E34FF2">
      <w:pPr>
        <w:pStyle w:val="Notedebasdepage"/>
      </w:pPr>
      <w:r>
        <w:rPr>
          <w:rStyle w:val="Appelnotedebasdep"/>
        </w:rPr>
        <w:footnoteRef/>
      </w:r>
      <w:r>
        <w:t xml:space="preserve"> </w:t>
      </w:r>
      <w:r>
        <w:tab/>
        <w:t>Demande d’autorisation, par. 37.</w:t>
      </w:r>
    </w:p>
  </w:footnote>
  <w:footnote w:id="4">
    <w:p w14:paraId="01656CE6" w14:textId="77777777" w:rsidR="00E34FF2" w:rsidRDefault="00B2678F" w:rsidP="00E34FF2">
      <w:pPr>
        <w:pStyle w:val="Notedebasdepage"/>
      </w:pPr>
      <w:r>
        <w:rPr>
          <w:rStyle w:val="Appelnotedebasdep"/>
        </w:rPr>
        <w:footnoteRef/>
      </w:r>
      <w:r>
        <w:t xml:space="preserve"> </w:t>
      </w:r>
      <w:r>
        <w:tab/>
      </w:r>
      <w:r w:rsidRPr="00B4355E">
        <w:rPr>
          <w:i/>
          <w:iCs/>
        </w:rPr>
        <w:t xml:space="preserve">Infineon Technologies AG </w:t>
      </w:r>
      <w:r w:rsidRPr="005E2A8B">
        <w:t>c.</w:t>
      </w:r>
      <w:r w:rsidRPr="00B4355E">
        <w:rPr>
          <w:i/>
          <w:iCs/>
        </w:rPr>
        <w:t xml:space="preserve"> Option consommateurs</w:t>
      </w:r>
      <w:r w:rsidRPr="00B4355E">
        <w:t>, 2013 CSC 59</w:t>
      </w:r>
      <w:r>
        <w:t>, par. 45</w:t>
      </w:r>
      <w:r w:rsidR="00A9653E">
        <w:t>.</w:t>
      </w:r>
    </w:p>
  </w:footnote>
  <w:footnote w:id="5">
    <w:p w14:paraId="2B0F738C" w14:textId="77777777" w:rsidR="00E34FF2" w:rsidRDefault="00B2678F" w:rsidP="00E34FF2">
      <w:pPr>
        <w:pStyle w:val="Notedebasdepage"/>
      </w:pPr>
      <w:r>
        <w:rPr>
          <w:rStyle w:val="Appelnotedebasdep"/>
        </w:rPr>
        <w:footnoteRef/>
      </w:r>
      <w:r>
        <w:t xml:space="preserve"> </w:t>
      </w:r>
      <w:r>
        <w:tab/>
      </w:r>
      <w:r w:rsidRPr="00BA2CB3">
        <w:rPr>
          <w:i/>
          <w:iCs/>
        </w:rPr>
        <w:t xml:space="preserve">GreCon Dimter inc. </w:t>
      </w:r>
      <w:r w:rsidRPr="005E2A8B">
        <w:t>c.</w:t>
      </w:r>
      <w:r w:rsidRPr="00BA2CB3">
        <w:rPr>
          <w:i/>
          <w:iCs/>
        </w:rPr>
        <w:t xml:space="preserve"> J.R. Normand inc.</w:t>
      </w:r>
      <w:r w:rsidRPr="00BA2CB3">
        <w:t>, 2005 CSC 46</w:t>
      </w:r>
      <w:r>
        <w:t>, par. 21.</w:t>
      </w:r>
    </w:p>
  </w:footnote>
  <w:footnote w:id="6">
    <w:p w14:paraId="0AD079FC" w14:textId="77777777" w:rsidR="00E34FF2" w:rsidRDefault="00B2678F" w:rsidP="00E34FF2">
      <w:pPr>
        <w:pStyle w:val="Notedebasdepage"/>
      </w:pPr>
      <w:r>
        <w:rPr>
          <w:rStyle w:val="Appelnotedebasdep"/>
        </w:rPr>
        <w:footnoteRef/>
      </w:r>
      <w:r>
        <w:t xml:space="preserve"> </w:t>
      </w:r>
      <w:r>
        <w:tab/>
      </w:r>
      <w:r w:rsidRPr="001B7046">
        <w:rPr>
          <w:i/>
          <w:iCs/>
        </w:rPr>
        <w:t>Id.</w:t>
      </w:r>
      <w:r>
        <w:t>, par. 27.</w:t>
      </w:r>
    </w:p>
  </w:footnote>
  <w:footnote w:id="7">
    <w:p w14:paraId="7AE47965" w14:textId="77777777" w:rsidR="00E34FF2" w:rsidRDefault="00B2678F" w:rsidP="00E34FF2">
      <w:pPr>
        <w:pStyle w:val="Notedebasdepage"/>
      </w:pPr>
      <w:r>
        <w:rPr>
          <w:rStyle w:val="Appelnotedebasdep"/>
        </w:rPr>
        <w:footnoteRef/>
      </w:r>
      <w:r>
        <w:t xml:space="preserve"> </w:t>
      </w:r>
      <w:r>
        <w:tab/>
        <w:t>Pièce D-4A, clause 5d.</w:t>
      </w:r>
    </w:p>
  </w:footnote>
  <w:footnote w:id="8">
    <w:p w14:paraId="2A120CC5" w14:textId="77777777" w:rsidR="00E34FF2" w:rsidRDefault="00B2678F" w:rsidP="00E34FF2">
      <w:pPr>
        <w:pStyle w:val="Notedebasdepage"/>
      </w:pPr>
      <w:r>
        <w:rPr>
          <w:rStyle w:val="Appelnotedebasdep"/>
        </w:rPr>
        <w:footnoteRef/>
      </w:r>
      <w:r>
        <w:t xml:space="preserve"> </w:t>
      </w:r>
      <w:r>
        <w:tab/>
        <w:t>Pièce D-1A.</w:t>
      </w:r>
    </w:p>
  </w:footnote>
  <w:footnote w:id="9">
    <w:p w14:paraId="1180A12F" w14:textId="77777777" w:rsidR="00E34FF2" w:rsidRPr="000B6F26" w:rsidRDefault="00B2678F" w:rsidP="00E34FF2">
      <w:pPr>
        <w:pStyle w:val="Notedebasdepage"/>
      </w:pPr>
      <w:r>
        <w:rPr>
          <w:rStyle w:val="Appelnotedebasdep"/>
        </w:rPr>
        <w:footnoteRef/>
      </w:r>
      <w:r w:rsidRPr="000B6F26">
        <w:t xml:space="preserve"> </w:t>
      </w:r>
      <w:r>
        <w:tab/>
      </w:r>
      <w:r w:rsidRPr="00ED4757">
        <w:rPr>
          <w:i/>
        </w:rPr>
        <w:t>L’Oratoire Saint</w:t>
      </w:r>
      <w:r w:rsidRPr="00ED4757">
        <w:rPr>
          <w:rFonts w:ascii="Cambria Math" w:hAnsi="Cambria Math" w:cs="Cambria Math"/>
          <w:i/>
        </w:rPr>
        <w:t>‑</w:t>
      </w:r>
      <w:r w:rsidRPr="00ED4757">
        <w:rPr>
          <w:i/>
        </w:rPr>
        <w:t>Joseph du Mont</w:t>
      </w:r>
      <w:r w:rsidRPr="00ED4757">
        <w:rPr>
          <w:rFonts w:ascii="Cambria Math" w:hAnsi="Cambria Math" w:cs="Cambria Math"/>
          <w:i/>
        </w:rPr>
        <w:t>‑</w:t>
      </w:r>
      <w:r w:rsidRPr="00ED4757">
        <w:rPr>
          <w:i/>
        </w:rPr>
        <w:t xml:space="preserve">Royal </w:t>
      </w:r>
      <w:r>
        <w:t>c</w:t>
      </w:r>
      <w:r w:rsidRPr="009548BF">
        <w:t>.</w:t>
      </w:r>
      <w:r w:rsidRPr="00ED4757">
        <w:rPr>
          <w:i/>
        </w:rPr>
        <w:t xml:space="preserve"> J.J.</w:t>
      </w:r>
      <w:r w:rsidRPr="000B6F26">
        <w:t xml:space="preserve">, 2019 </w:t>
      </w:r>
      <w:r>
        <w:t>C</w:t>
      </w:r>
      <w:r w:rsidRPr="000B6F26">
        <w:t>SC 35</w:t>
      </w:r>
      <w:r>
        <w:t>, par. 6.</w:t>
      </w:r>
    </w:p>
  </w:footnote>
  <w:footnote w:id="10">
    <w:p w14:paraId="0EB443B8" w14:textId="77777777" w:rsidR="00E34FF2" w:rsidRPr="00046979" w:rsidRDefault="00B2678F" w:rsidP="00E34FF2">
      <w:pPr>
        <w:pStyle w:val="Notedebasdepage"/>
      </w:pPr>
      <w:r>
        <w:rPr>
          <w:rStyle w:val="Appelnotedebasdep"/>
        </w:rPr>
        <w:footnoteRef/>
      </w:r>
      <w:r w:rsidRPr="00041CD8">
        <w:t xml:space="preserve"> </w:t>
      </w:r>
      <w:r>
        <w:tab/>
      </w:r>
      <w:r w:rsidRPr="00B46E79">
        <w:rPr>
          <w:i/>
        </w:rPr>
        <w:t xml:space="preserve">Desjardins Cabinet de services financiers inc. </w:t>
      </w:r>
      <w:r w:rsidRPr="00F9722A">
        <w:t>c.</w:t>
      </w:r>
      <w:r w:rsidRPr="00B46E79">
        <w:rPr>
          <w:i/>
        </w:rPr>
        <w:t xml:space="preserve"> Asselin</w:t>
      </w:r>
      <w:r w:rsidRPr="00B46E79">
        <w:t xml:space="preserve">, 2020 </w:t>
      </w:r>
      <w:r>
        <w:t>C</w:t>
      </w:r>
      <w:r w:rsidRPr="00B46E79">
        <w:t xml:space="preserve">SC 30, par. </w:t>
      </w:r>
      <w:r>
        <w:t>27, 55, 116 et 156</w:t>
      </w:r>
      <w:r w:rsidRPr="00B46E79">
        <w:t>;</w:t>
      </w:r>
      <w:r>
        <w:t xml:space="preserve"> </w:t>
      </w:r>
      <w:r w:rsidRPr="00ED4757">
        <w:rPr>
          <w:i/>
        </w:rPr>
        <w:t>L’Oratoire Saint</w:t>
      </w:r>
      <w:r w:rsidRPr="00ED4757">
        <w:rPr>
          <w:rFonts w:ascii="Cambria Math" w:hAnsi="Cambria Math" w:cs="Cambria Math"/>
          <w:i/>
        </w:rPr>
        <w:t>‑</w:t>
      </w:r>
      <w:r w:rsidRPr="00ED4757">
        <w:rPr>
          <w:i/>
        </w:rPr>
        <w:t>Joseph du Mont</w:t>
      </w:r>
      <w:r w:rsidRPr="00ED4757">
        <w:rPr>
          <w:rFonts w:ascii="Cambria Math" w:hAnsi="Cambria Math" w:cs="Cambria Math"/>
          <w:i/>
        </w:rPr>
        <w:t>‑</w:t>
      </w:r>
      <w:r w:rsidRPr="00ED4757">
        <w:rPr>
          <w:i/>
        </w:rPr>
        <w:t xml:space="preserve">Royal </w:t>
      </w:r>
      <w:r>
        <w:t>c</w:t>
      </w:r>
      <w:r w:rsidRPr="009548BF">
        <w:t>.</w:t>
      </w:r>
      <w:r w:rsidRPr="00ED4757">
        <w:rPr>
          <w:i/>
        </w:rPr>
        <w:t xml:space="preserve"> J.J.</w:t>
      </w:r>
      <w:r w:rsidRPr="00ED4757">
        <w:t xml:space="preserve">, </w:t>
      </w:r>
      <w:r w:rsidRPr="00A22B24">
        <w:t>préc.</w:t>
      </w:r>
      <w:r>
        <w:t>, note 9</w:t>
      </w:r>
      <w:r w:rsidRPr="00ED4757">
        <w:t xml:space="preserve">, par. </w:t>
      </w:r>
      <w:r>
        <w:t xml:space="preserve">6, 8, 18, 19, 20, 42, 56 et 58; </w:t>
      </w:r>
      <w:r w:rsidRPr="0023310C">
        <w:rPr>
          <w:i/>
        </w:rPr>
        <w:t xml:space="preserve">Vivendi Canada </w:t>
      </w:r>
      <w:r>
        <w:rPr>
          <w:i/>
        </w:rPr>
        <w:t>i</w:t>
      </w:r>
      <w:r w:rsidRPr="0023310C">
        <w:rPr>
          <w:i/>
        </w:rPr>
        <w:t xml:space="preserve">nc. </w:t>
      </w:r>
      <w:r>
        <w:t>c</w:t>
      </w:r>
      <w:r w:rsidRPr="00F9722A">
        <w:t>.</w:t>
      </w:r>
      <w:r w:rsidRPr="0023310C">
        <w:rPr>
          <w:i/>
        </w:rPr>
        <w:t xml:space="preserve"> Dell’Aniello</w:t>
      </w:r>
      <w:r w:rsidRPr="0023310C">
        <w:t xml:space="preserve">, 2014 </w:t>
      </w:r>
      <w:r>
        <w:t>CSC</w:t>
      </w:r>
      <w:r w:rsidRPr="0023310C">
        <w:t xml:space="preserve"> 1</w:t>
      </w:r>
      <w:r>
        <w:t xml:space="preserve">, par. 1, 37, 55 et 67; </w:t>
      </w:r>
      <w:r w:rsidRPr="0023310C">
        <w:rPr>
          <w:i/>
        </w:rPr>
        <w:t xml:space="preserve">Infineon Technologies AG </w:t>
      </w:r>
      <w:r>
        <w:t>c</w:t>
      </w:r>
      <w:r w:rsidRPr="00F9722A">
        <w:t>.</w:t>
      </w:r>
      <w:r w:rsidRPr="0023310C">
        <w:rPr>
          <w:i/>
        </w:rPr>
        <w:t xml:space="preserve"> Option Consommateurs</w:t>
      </w:r>
      <w:r w:rsidRPr="0023310C">
        <w:t xml:space="preserve">, </w:t>
      </w:r>
      <w:r w:rsidR="00921269">
        <w:t xml:space="preserve">préc., note </w:t>
      </w:r>
      <w:r>
        <w:t xml:space="preserve">4, par. </w:t>
      </w:r>
      <w:r w:rsidRPr="00046979">
        <w:t xml:space="preserve">59 </w:t>
      </w:r>
      <w:r>
        <w:t>à</w:t>
      </w:r>
      <w:r w:rsidRPr="00046979">
        <w:t xml:space="preserve"> 61; </w:t>
      </w:r>
      <w:r w:rsidRPr="00046979">
        <w:rPr>
          <w:i/>
        </w:rPr>
        <w:t xml:space="preserve">Apple Canada inc. </w:t>
      </w:r>
      <w:r w:rsidRPr="00046979">
        <w:t>c.</w:t>
      </w:r>
      <w:r w:rsidRPr="00046979">
        <w:rPr>
          <w:i/>
        </w:rPr>
        <w:t xml:space="preserve"> Badaoui</w:t>
      </w:r>
      <w:r w:rsidRPr="00046979">
        <w:t xml:space="preserve">, 2021 QCCA 432, </w:t>
      </w:r>
      <w:r>
        <w:t>par.</w:t>
      </w:r>
      <w:r w:rsidRPr="00046979">
        <w:t xml:space="preserve"> 25; </w:t>
      </w:r>
      <w:r w:rsidRPr="00046979">
        <w:rPr>
          <w:i/>
        </w:rPr>
        <w:t>Benamor</w:t>
      </w:r>
      <w:r w:rsidRPr="00046979">
        <w:t xml:space="preserve"> c.</w:t>
      </w:r>
      <w:r w:rsidRPr="00046979">
        <w:rPr>
          <w:i/>
        </w:rPr>
        <w:t xml:space="preserve"> Air Canada</w:t>
      </w:r>
      <w:r w:rsidRPr="00046979">
        <w:t xml:space="preserve">, 2020 QCCA 1597, par. </w:t>
      </w:r>
      <w:r w:rsidRPr="00F46D85">
        <w:t xml:space="preserve">35; </w:t>
      </w:r>
      <w:r w:rsidRPr="00F46D85">
        <w:rPr>
          <w:i/>
        </w:rPr>
        <w:t xml:space="preserve">Godin </w:t>
      </w:r>
      <w:r w:rsidRPr="00F46D85">
        <w:t>c.</w:t>
      </w:r>
      <w:r w:rsidRPr="00F46D85">
        <w:rPr>
          <w:i/>
        </w:rPr>
        <w:t xml:space="preserve"> Aréna des Canadiens inc.</w:t>
      </w:r>
      <w:r w:rsidRPr="00F46D85">
        <w:t xml:space="preserve">, 2020 QCCA 1291, </w:t>
      </w:r>
      <w:r>
        <w:t>par.</w:t>
      </w:r>
      <w:r w:rsidRPr="00F46D85">
        <w:t xml:space="preserve"> </w:t>
      </w:r>
      <w:r w:rsidRPr="00046979">
        <w:t xml:space="preserve">49 </w:t>
      </w:r>
      <w:r>
        <w:t>et</w:t>
      </w:r>
      <w:r w:rsidRPr="00046979">
        <w:t xml:space="preserve"> 50</w:t>
      </w:r>
      <w:r w:rsidR="00AA2B63">
        <w:t xml:space="preserve"> (d</w:t>
      </w:r>
      <w:r w:rsidR="00AA2B63" w:rsidRPr="00AA2B63">
        <w:t>emande d</w:t>
      </w:r>
      <w:r w:rsidR="004229E3">
        <w:t>’</w:t>
      </w:r>
      <w:r w:rsidR="00AA2B63" w:rsidRPr="00AA2B63">
        <w:t>approbation d'une entente de règlement accueillie, 2022 QCCS 2110</w:t>
      </w:r>
      <w:r w:rsidR="00AA2B63">
        <w:t>)</w:t>
      </w:r>
      <w:r w:rsidRPr="00046979">
        <w:t xml:space="preserve">; </w:t>
      </w:r>
      <w:r w:rsidRPr="00046979">
        <w:rPr>
          <w:i/>
        </w:rPr>
        <w:t xml:space="preserve">Tenzer </w:t>
      </w:r>
      <w:r w:rsidRPr="00046979">
        <w:t xml:space="preserve">c. </w:t>
      </w:r>
      <w:r w:rsidRPr="00046979">
        <w:rPr>
          <w:i/>
        </w:rPr>
        <w:t>Huawei Technologies Canada Co. Ltd.</w:t>
      </w:r>
      <w:r w:rsidRPr="00046979">
        <w:t>, 2020 QCCA 633, par. 20</w:t>
      </w:r>
      <w:r w:rsidR="00F14A72">
        <w:t xml:space="preserve"> (d</w:t>
      </w:r>
      <w:r w:rsidR="00F14A72" w:rsidRPr="00F14A72">
        <w:t>emande d'approbation d'une entente de règlement accueillie, 2021 QCCS 4663</w:t>
      </w:r>
      <w:r w:rsidR="00F14A72">
        <w:t>)</w:t>
      </w:r>
      <w:r w:rsidRPr="00046979">
        <w:t xml:space="preserve">; </w:t>
      </w:r>
      <w:r w:rsidRPr="00046979">
        <w:rPr>
          <w:i/>
        </w:rPr>
        <w:t>Belmamoun</w:t>
      </w:r>
      <w:r w:rsidRPr="00046979">
        <w:t xml:space="preserve"> c.</w:t>
      </w:r>
      <w:r w:rsidRPr="00046979">
        <w:rPr>
          <w:i/>
        </w:rPr>
        <w:t xml:space="preserve"> Ville de Brossard</w:t>
      </w:r>
      <w:r w:rsidRPr="00046979">
        <w:t xml:space="preserve">, 2017 QCCA 102, par. 73 </w:t>
      </w:r>
      <w:r>
        <w:t>et</w:t>
      </w:r>
      <w:r w:rsidRPr="00046979">
        <w:t xml:space="preserve"> 74; </w:t>
      </w:r>
      <w:r w:rsidRPr="00046979">
        <w:rPr>
          <w:i/>
        </w:rPr>
        <w:t xml:space="preserve">Charles </w:t>
      </w:r>
      <w:r w:rsidRPr="00046979">
        <w:t>c.</w:t>
      </w:r>
      <w:r w:rsidRPr="00046979">
        <w:rPr>
          <w:i/>
        </w:rPr>
        <w:t xml:space="preserve"> Boiron Canada inc.</w:t>
      </w:r>
      <w:r w:rsidRPr="00046979">
        <w:t>, 2016 QCCA 1716, par. 40</w:t>
      </w:r>
      <w:r w:rsidR="009A68AF">
        <w:t xml:space="preserve"> à </w:t>
      </w:r>
      <w:r>
        <w:t>43</w:t>
      </w:r>
      <w:r w:rsidRPr="00046979">
        <w:t xml:space="preserve"> (</w:t>
      </w:r>
      <w:r w:rsidR="00F14A72">
        <w:t xml:space="preserve">demande </w:t>
      </w:r>
      <w:r>
        <w:t xml:space="preserve">pour </w:t>
      </w:r>
      <w:r w:rsidRPr="005E3098">
        <w:t xml:space="preserve">autorisation d'appel à la Cour suprême rejetée avec dissidence </w:t>
      </w:r>
      <w:r w:rsidRPr="00046979">
        <w:t>(Can C.S., 2017-05-04) 37366)</w:t>
      </w:r>
      <w:r>
        <w:t>;</w:t>
      </w:r>
      <w:r w:rsidRPr="009D6B9E">
        <w:rPr>
          <w:i/>
        </w:rPr>
        <w:t xml:space="preserve"> </w:t>
      </w:r>
      <w:r w:rsidRPr="00A22B24">
        <w:rPr>
          <w:i/>
        </w:rPr>
        <w:t>Union des consommateurs</w:t>
      </w:r>
      <w:r w:rsidRPr="003F43C8">
        <w:t xml:space="preserve"> c. </w:t>
      </w:r>
      <w:r w:rsidRPr="00A22B24">
        <w:rPr>
          <w:i/>
        </w:rPr>
        <w:t>Bell Canada</w:t>
      </w:r>
      <w:r w:rsidRPr="003F43C8">
        <w:t>, 2012 QCCA 1287</w:t>
      </w:r>
      <w:r>
        <w:t>, par. 117 (</w:t>
      </w:r>
      <w:r w:rsidR="00F14A72">
        <w:t>demande</w:t>
      </w:r>
      <w:r w:rsidR="00F14A72" w:rsidRPr="00957B6E">
        <w:t xml:space="preserve"> </w:t>
      </w:r>
      <w:r w:rsidRPr="00957B6E">
        <w:t>pour autorisation de pourvoi à la Cour suprême rejetée (C.S. Can., 2013-01-17) 34994</w:t>
      </w:r>
      <w:r>
        <w:t>)</w:t>
      </w:r>
      <w:r w:rsidRPr="00853668">
        <w:t>.</w:t>
      </w:r>
    </w:p>
  </w:footnote>
  <w:footnote w:id="11">
    <w:p w14:paraId="3496B3CD" w14:textId="77777777" w:rsidR="00E34FF2" w:rsidRPr="0027338C" w:rsidRDefault="00B2678F" w:rsidP="00E34FF2">
      <w:pPr>
        <w:pStyle w:val="Notedebasdepage"/>
      </w:pPr>
      <w:r>
        <w:rPr>
          <w:rStyle w:val="Appelnotedebasdep"/>
        </w:rPr>
        <w:footnoteRef/>
      </w:r>
      <w:r>
        <w:t xml:space="preserve"> </w:t>
      </w:r>
      <w:r>
        <w:tab/>
      </w:r>
      <w:r w:rsidRPr="0027338C">
        <w:rPr>
          <w:i/>
        </w:rPr>
        <w:t xml:space="preserve">Rozon </w:t>
      </w:r>
      <w:r w:rsidRPr="00A22B24">
        <w:t>c.</w:t>
      </w:r>
      <w:r w:rsidRPr="0027338C">
        <w:rPr>
          <w:i/>
        </w:rPr>
        <w:t xml:space="preserve"> Les Courageuses</w:t>
      </w:r>
      <w:r w:rsidRPr="0027338C">
        <w:t>, 2020 QCCA 5</w:t>
      </w:r>
      <w:r>
        <w:t xml:space="preserve">, par. 70 </w:t>
      </w:r>
      <w:r w:rsidRPr="00896E35">
        <w:t>(</w:t>
      </w:r>
      <w:r w:rsidR="00F14A72">
        <w:t>demande</w:t>
      </w:r>
      <w:r w:rsidR="00F14A72" w:rsidRPr="00896E35">
        <w:t xml:space="preserve"> </w:t>
      </w:r>
      <w:r w:rsidRPr="00896E35">
        <w:t>pour permission d’en appeler à la Cour suprême du Canada rejetée (C.S. Can, 2020-11-16, 39115)</w:t>
      </w:r>
      <w:r>
        <w:t>).</w:t>
      </w:r>
    </w:p>
  </w:footnote>
  <w:footnote w:id="12">
    <w:p w14:paraId="147C7DAB" w14:textId="77777777" w:rsidR="00E34FF2" w:rsidRPr="00F15645" w:rsidRDefault="00B2678F" w:rsidP="00E34FF2">
      <w:pPr>
        <w:pStyle w:val="Notedebasdepage"/>
      </w:pPr>
      <w:r>
        <w:rPr>
          <w:rStyle w:val="Appelnotedebasdep"/>
        </w:rPr>
        <w:footnoteRef/>
      </w:r>
      <w:r w:rsidRPr="00F15645">
        <w:t xml:space="preserve"> </w:t>
      </w:r>
      <w:r w:rsidRPr="00F15645">
        <w:tab/>
      </w:r>
      <w:r w:rsidRPr="009D6B9E">
        <w:rPr>
          <w:i/>
        </w:rPr>
        <w:t xml:space="preserve">Levy </w:t>
      </w:r>
      <w:r w:rsidRPr="005E2A8B">
        <w:rPr>
          <w:iCs/>
        </w:rPr>
        <w:t>c.</w:t>
      </w:r>
      <w:r w:rsidRPr="009D6B9E">
        <w:rPr>
          <w:i/>
        </w:rPr>
        <w:t xml:space="preserve"> Nissan Canada inc.</w:t>
      </w:r>
      <w:r>
        <w:rPr>
          <w:i/>
        </w:rPr>
        <w:t>,</w:t>
      </w:r>
      <w:r w:rsidRPr="009D6B9E">
        <w:t xml:space="preserve"> 2021 QCCA 682</w:t>
      </w:r>
      <w:r>
        <w:t>, par. 27</w:t>
      </w:r>
      <w:r w:rsidR="00F14A72">
        <w:t xml:space="preserve"> (demande</w:t>
      </w:r>
      <w:r w:rsidR="00F14A72" w:rsidRPr="00F14A72">
        <w:t xml:space="preserve"> d'approbation d'une entente de règlement accueillie et approbation de l'entente (C.S., 2024-06-17) 500-06-000907-184</w:t>
      </w:r>
      <w:r w:rsidR="00F14A72">
        <w:t>)</w:t>
      </w:r>
      <w:r>
        <w:t xml:space="preserve">; </w:t>
      </w:r>
      <w:r w:rsidRPr="00F15645">
        <w:rPr>
          <w:i/>
        </w:rPr>
        <w:t xml:space="preserve">Harvey </w:t>
      </w:r>
      <w:r w:rsidRPr="005E2A8B">
        <w:rPr>
          <w:iCs/>
        </w:rPr>
        <w:t>c.</w:t>
      </w:r>
      <w:r w:rsidRPr="00F15645">
        <w:rPr>
          <w:i/>
        </w:rPr>
        <w:t xml:space="preserve"> Vidéotron</w:t>
      </w:r>
      <w:r w:rsidRPr="00F15645">
        <w:t xml:space="preserve">, 2021 QCCA 1183, par. </w:t>
      </w:r>
      <w:r>
        <w:t>21.</w:t>
      </w:r>
    </w:p>
  </w:footnote>
  <w:footnote w:id="13">
    <w:p w14:paraId="06EDB376" w14:textId="77777777" w:rsidR="00E34FF2" w:rsidRPr="00896E35" w:rsidRDefault="00B2678F" w:rsidP="00E34FF2">
      <w:pPr>
        <w:pStyle w:val="Notedebasdepage"/>
      </w:pPr>
      <w:r>
        <w:rPr>
          <w:rStyle w:val="Appelnotedebasdep"/>
        </w:rPr>
        <w:footnoteRef/>
      </w:r>
      <w:r>
        <w:t xml:space="preserve"> </w:t>
      </w:r>
      <w:r>
        <w:tab/>
      </w:r>
      <w:r w:rsidRPr="0023310C">
        <w:rPr>
          <w:i/>
        </w:rPr>
        <w:t xml:space="preserve">Vivendi Canada inc. </w:t>
      </w:r>
      <w:r>
        <w:t>c</w:t>
      </w:r>
      <w:r w:rsidRPr="00F9722A">
        <w:t>.</w:t>
      </w:r>
      <w:r w:rsidRPr="0023310C">
        <w:rPr>
          <w:i/>
        </w:rPr>
        <w:t xml:space="preserve"> Dell’Aniello</w:t>
      </w:r>
      <w:r w:rsidRPr="0023310C">
        <w:t xml:space="preserve">, </w:t>
      </w:r>
      <w:r>
        <w:t>préc., note 10, par. 51 et 59.</w:t>
      </w:r>
    </w:p>
  </w:footnote>
  <w:footnote w:id="14">
    <w:p w14:paraId="680A5B08" w14:textId="77777777" w:rsidR="00E34FF2" w:rsidRPr="0027338C" w:rsidRDefault="00B2678F" w:rsidP="00E34FF2">
      <w:pPr>
        <w:pStyle w:val="Notedebasdepage"/>
      </w:pPr>
      <w:r>
        <w:rPr>
          <w:rStyle w:val="Appelnotedebasdep"/>
        </w:rPr>
        <w:footnoteRef/>
      </w:r>
      <w:r>
        <w:t xml:space="preserve"> </w:t>
      </w:r>
      <w:r>
        <w:tab/>
        <w:t>P</w:t>
      </w:r>
      <w:r w:rsidRPr="0027338C">
        <w:t xml:space="preserve">ierre-Claude LAFOND, </w:t>
      </w:r>
      <w:r w:rsidRPr="0027338C">
        <w:rPr>
          <w:i/>
        </w:rPr>
        <w:t>Le recours collectif, le rôle du juge et sa conception de la justice : impact et évolution</w:t>
      </w:r>
      <w:r w:rsidRPr="0027338C">
        <w:t xml:space="preserve">, Cowansville, </w:t>
      </w:r>
      <w:r>
        <w:t xml:space="preserve">Éditions </w:t>
      </w:r>
      <w:r w:rsidRPr="0027338C">
        <w:t>Yvon Blais, 2006, p. 92.</w:t>
      </w:r>
    </w:p>
  </w:footnote>
  <w:footnote w:id="15">
    <w:p w14:paraId="70531F57" w14:textId="77777777" w:rsidR="00E34FF2" w:rsidRPr="00046979" w:rsidRDefault="00B2678F" w:rsidP="00E34FF2">
      <w:pPr>
        <w:pStyle w:val="Notedebasdepage"/>
      </w:pPr>
      <w:r>
        <w:rPr>
          <w:rStyle w:val="Appelnotedebasdep"/>
        </w:rPr>
        <w:footnoteRef/>
      </w:r>
      <w:r w:rsidRPr="00084AC0">
        <w:t xml:space="preserve"> </w:t>
      </w:r>
      <w:r>
        <w:tab/>
      </w:r>
      <w:r w:rsidRPr="00046979">
        <w:rPr>
          <w:i/>
        </w:rPr>
        <w:t xml:space="preserve">Desjardins Cabinet de services financiers inc. </w:t>
      </w:r>
      <w:r w:rsidRPr="00A22B24">
        <w:t>c.</w:t>
      </w:r>
      <w:r w:rsidRPr="00046979">
        <w:rPr>
          <w:i/>
        </w:rPr>
        <w:t xml:space="preserve"> Asselin</w:t>
      </w:r>
      <w:r w:rsidRPr="00046979">
        <w:t xml:space="preserve">, </w:t>
      </w:r>
      <w:r>
        <w:t>préc., note 10,</w:t>
      </w:r>
      <w:r w:rsidRPr="00046979">
        <w:t xml:space="preserve"> par. 27</w:t>
      </w:r>
      <w:r>
        <w:t xml:space="preserve">; </w:t>
      </w:r>
      <w:r w:rsidRPr="00ED4757">
        <w:rPr>
          <w:i/>
        </w:rPr>
        <w:t>L’Oratoire Saint</w:t>
      </w:r>
      <w:r w:rsidRPr="00ED4757">
        <w:rPr>
          <w:rFonts w:ascii="Cambria Math" w:hAnsi="Cambria Math" w:cs="Cambria Math"/>
          <w:i/>
        </w:rPr>
        <w:t>‑</w:t>
      </w:r>
      <w:r w:rsidRPr="00ED4757">
        <w:rPr>
          <w:i/>
        </w:rPr>
        <w:t>Joseph du Mont</w:t>
      </w:r>
      <w:r w:rsidRPr="00ED4757">
        <w:rPr>
          <w:rFonts w:ascii="Cambria Math" w:hAnsi="Cambria Math" w:cs="Cambria Math"/>
          <w:i/>
        </w:rPr>
        <w:t>‑</w:t>
      </w:r>
      <w:r w:rsidRPr="00ED4757">
        <w:rPr>
          <w:i/>
        </w:rPr>
        <w:t xml:space="preserve">Royal </w:t>
      </w:r>
      <w:r>
        <w:t>c</w:t>
      </w:r>
      <w:r w:rsidRPr="009548BF">
        <w:t>.</w:t>
      </w:r>
      <w:r w:rsidRPr="00ED4757">
        <w:rPr>
          <w:i/>
        </w:rPr>
        <w:t xml:space="preserve"> J.J.</w:t>
      </w:r>
      <w:r w:rsidRPr="00ED4757">
        <w:t xml:space="preserve">, </w:t>
      </w:r>
      <w:r w:rsidRPr="00A22B24">
        <w:t>préc.</w:t>
      </w:r>
      <w:r>
        <w:t>, note 9</w:t>
      </w:r>
      <w:r w:rsidRPr="00ED4757">
        <w:t xml:space="preserve">, </w:t>
      </w:r>
      <w:r>
        <w:t>par.</w:t>
      </w:r>
      <w:r w:rsidRPr="00ED4757">
        <w:t xml:space="preserve"> </w:t>
      </w:r>
      <w:r>
        <w:t xml:space="preserve">6, 8 et 44; </w:t>
      </w:r>
      <w:r w:rsidRPr="0023310C">
        <w:rPr>
          <w:i/>
        </w:rPr>
        <w:t xml:space="preserve">Vivendi Canada inc. </w:t>
      </w:r>
      <w:r>
        <w:t>c</w:t>
      </w:r>
      <w:r w:rsidRPr="00F9722A">
        <w:t>.</w:t>
      </w:r>
      <w:r w:rsidRPr="0023310C">
        <w:rPr>
          <w:i/>
        </w:rPr>
        <w:t xml:space="preserve"> Dell’Aniello</w:t>
      </w:r>
      <w:r w:rsidRPr="0023310C">
        <w:t xml:space="preserve">, </w:t>
      </w:r>
      <w:r>
        <w:t xml:space="preserve">préc., note 10, par. 42, 53 à 59 et 72; </w:t>
      </w:r>
      <w:r w:rsidRPr="00ED4757">
        <w:rPr>
          <w:i/>
        </w:rPr>
        <w:t xml:space="preserve">Infineon Technologies AG </w:t>
      </w:r>
      <w:r>
        <w:t>c</w:t>
      </w:r>
      <w:r w:rsidRPr="009548BF">
        <w:t>.</w:t>
      </w:r>
      <w:r w:rsidRPr="00ED4757">
        <w:rPr>
          <w:i/>
        </w:rPr>
        <w:t xml:space="preserve"> Option consommateurs</w:t>
      </w:r>
      <w:r>
        <w:t xml:space="preserve">, </w:t>
      </w:r>
      <w:r w:rsidR="00A62BB7">
        <w:t xml:space="preserve">préc., note </w:t>
      </w:r>
      <w:r>
        <w:t>4,</w:t>
      </w:r>
      <w:r w:rsidRPr="00ED4757">
        <w:t xml:space="preserve"> </w:t>
      </w:r>
      <w:r>
        <w:t>par.</w:t>
      </w:r>
      <w:r w:rsidRPr="00ED4757">
        <w:t xml:space="preserve"> </w:t>
      </w:r>
      <w:r w:rsidRPr="005E6A09">
        <w:t xml:space="preserve">72; </w:t>
      </w:r>
      <w:r w:rsidRPr="005E6A09">
        <w:rPr>
          <w:i/>
        </w:rPr>
        <w:t>Apple Canada inc.</w:t>
      </w:r>
      <w:r w:rsidRPr="008B15DE">
        <w:t xml:space="preserve"> c.</w:t>
      </w:r>
      <w:r w:rsidRPr="005E6A09">
        <w:rPr>
          <w:i/>
        </w:rPr>
        <w:t xml:space="preserve"> Badaoui, </w:t>
      </w:r>
      <w:r w:rsidRPr="00A22B24">
        <w:t>préc.</w:t>
      </w:r>
      <w:r w:rsidRPr="005E6A09">
        <w:rPr>
          <w:i/>
        </w:rPr>
        <w:t>,</w:t>
      </w:r>
      <w:r w:rsidRPr="005E6A09">
        <w:t xml:space="preserve"> note </w:t>
      </w:r>
      <w:r>
        <w:t xml:space="preserve">10, par. 62; </w:t>
      </w:r>
      <w:r w:rsidRPr="005E6A09">
        <w:rPr>
          <w:i/>
        </w:rPr>
        <w:t xml:space="preserve">Rozon </w:t>
      </w:r>
      <w:r w:rsidRPr="005E6A09">
        <w:t>c.</w:t>
      </w:r>
      <w:r w:rsidRPr="005E6A09">
        <w:rPr>
          <w:i/>
        </w:rPr>
        <w:t xml:space="preserve"> Les Courageuses</w:t>
      </w:r>
      <w:r w:rsidRPr="005E6A09">
        <w:t xml:space="preserve">, </w:t>
      </w:r>
      <w:r>
        <w:t>préc., note 11</w:t>
      </w:r>
      <w:r w:rsidRPr="005E6A09">
        <w:t xml:space="preserve">, </w:t>
      </w:r>
      <w:r>
        <w:t>par.</w:t>
      </w:r>
      <w:r w:rsidRPr="005E6A09">
        <w:t xml:space="preserve"> </w:t>
      </w:r>
      <w:r w:rsidRPr="00046979">
        <w:t>74.</w:t>
      </w:r>
    </w:p>
  </w:footnote>
  <w:footnote w:id="16">
    <w:p w14:paraId="3FE639DA" w14:textId="77777777" w:rsidR="00E34FF2" w:rsidRDefault="00B2678F" w:rsidP="00E34FF2">
      <w:pPr>
        <w:pStyle w:val="Notedebasdepage"/>
      </w:pPr>
      <w:r>
        <w:rPr>
          <w:rStyle w:val="Appelnotedebasdep"/>
        </w:rPr>
        <w:footnoteRef/>
      </w:r>
      <w:r>
        <w:t xml:space="preserve"> </w:t>
      </w:r>
      <w:r>
        <w:tab/>
      </w:r>
      <w:r w:rsidRPr="004176F5">
        <w:rPr>
          <w:i/>
          <w:iCs/>
        </w:rPr>
        <w:t>Loi sur la protection du consommateur</w:t>
      </w:r>
      <w:r w:rsidRPr="004176F5">
        <w:t>, RLRQ c</w:t>
      </w:r>
      <w:r w:rsidR="005A7E3A">
        <w:t>.</w:t>
      </w:r>
      <w:r w:rsidRPr="004176F5">
        <w:t xml:space="preserve"> P-40.1</w:t>
      </w:r>
      <w:r>
        <w:t>.</w:t>
      </w:r>
    </w:p>
  </w:footnote>
  <w:footnote w:id="17">
    <w:p w14:paraId="7E4633BD" w14:textId="77777777" w:rsidR="00E34FF2" w:rsidRPr="006E303B" w:rsidRDefault="00B2678F" w:rsidP="00E34FF2">
      <w:pPr>
        <w:pStyle w:val="Notedebasdepage"/>
      </w:pPr>
      <w:r>
        <w:rPr>
          <w:rStyle w:val="Appelnotedebasdep"/>
        </w:rPr>
        <w:footnoteRef/>
      </w:r>
      <w:r>
        <w:t xml:space="preserve"> </w:t>
      </w:r>
      <w:r>
        <w:tab/>
      </w:r>
      <w:r w:rsidRPr="00046979">
        <w:rPr>
          <w:i/>
        </w:rPr>
        <w:t xml:space="preserve">Desjardins Cabinet de services financiers inc. </w:t>
      </w:r>
      <w:r w:rsidRPr="00A22B24">
        <w:t>c.</w:t>
      </w:r>
      <w:r w:rsidRPr="00046979">
        <w:rPr>
          <w:i/>
        </w:rPr>
        <w:t xml:space="preserve"> Asselin</w:t>
      </w:r>
      <w:r w:rsidRPr="00046979">
        <w:t xml:space="preserve">, </w:t>
      </w:r>
      <w:r>
        <w:t>préc., note 10,</w:t>
      </w:r>
      <w:r w:rsidRPr="00046979">
        <w:t xml:space="preserve"> par. </w:t>
      </w:r>
      <w:r>
        <w:t>11</w:t>
      </w:r>
      <w:r w:rsidR="005A7E3A">
        <w:t xml:space="preserve"> à </w:t>
      </w:r>
      <w:r>
        <w:t xml:space="preserve">21; </w:t>
      </w:r>
      <w:r w:rsidRPr="009D6B9E">
        <w:rPr>
          <w:i/>
        </w:rPr>
        <w:t xml:space="preserve">Haroch </w:t>
      </w:r>
      <w:r w:rsidRPr="005E2A8B">
        <w:rPr>
          <w:iCs/>
        </w:rPr>
        <w:t>c</w:t>
      </w:r>
      <w:r w:rsidRPr="009D6B9E">
        <w:rPr>
          <w:i/>
        </w:rPr>
        <w:t>. Toronto-Dominion Bank</w:t>
      </w:r>
      <w:r w:rsidRPr="009D6B9E">
        <w:t>, 2021 QCCA 1504</w:t>
      </w:r>
      <w:r>
        <w:t>, par. 13</w:t>
      </w:r>
      <w:r w:rsidR="005A7E3A">
        <w:t xml:space="preserve"> et </w:t>
      </w:r>
      <w:r>
        <w:t>14</w:t>
      </w:r>
      <w:r w:rsidR="005A7E3A">
        <w:t xml:space="preserve"> (d</w:t>
      </w:r>
      <w:r w:rsidR="005A7E3A" w:rsidRPr="005A7E3A">
        <w:t>emande d'approbation d'une entente de règlement accueillie, 2023 QCCS 696</w:t>
      </w:r>
      <w:r w:rsidR="005A7E3A">
        <w:t>)</w:t>
      </w:r>
      <w:r>
        <w:t>.</w:t>
      </w:r>
    </w:p>
  </w:footnote>
  <w:footnote w:id="18">
    <w:p w14:paraId="663BC7CE" w14:textId="77777777" w:rsidR="00E34FF2" w:rsidRPr="00F3598E" w:rsidRDefault="00B2678F" w:rsidP="00E34FF2">
      <w:pPr>
        <w:pStyle w:val="Notedebasdepage"/>
      </w:pPr>
      <w:r>
        <w:rPr>
          <w:rStyle w:val="Appelnotedebasdep"/>
        </w:rPr>
        <w:footnoteRef/>
      </w:r>
      <w:r w:rsidRPr="00F3598E">
        <w:t xml:space="preserve"> </w:t>
      </w:r>
      <w:r>
        <w:tab/>
      </w:r>
      <w:r w:rsidRPr="00ED4757">
        <w:rPr>
          <w:i/>
        </w:rPr>
        <w:t>L’Oratoire Saint</w:t>
      </w:r>
      <w:r w:rsidRPr="00ED4757">
        <w:rPr>
          <w:rFonts w:ascii="Cambria Math" w:hAnsi="Cambria Math" w:cs="Cambria Math"/>
          <w:i/>
        </w:rPr>
        <w:t>‑</w:t>
      </w:r>
      <w:r w:rsidRPr="00ED4757">
        <w:rPr>
          <w:i/>
        </w:rPr>
        <w:t>Joseph du Mont</w:t>
      </w:r>
      <w:r w:rsidRPr="00ED4757">
        <w:rPr>
          <w:rFonts w:ascii="Cambria Math" w:hAnsi="Cambria Math" w:cs="Cambria Math"/>
          <w:i/>
        </w:rPr>
        <w:t>‑</w:t>
      </w:r>
      <w:r w:rsidRPr="00ED4757">
        <w:rPr>
          <w:i/>
        </w:rPr>
        <w:t xml:space="preserve">Royal </w:t>
      </w:r>
      <w:r>
        <w:t>c</w:t>
      </w:r>
      <w:r w:rsidRPr="009548BF">
        <w:t>.</w:t>
      </w:r>
      <w:r w:rsidRPr="00ED4757">
        <w:rPr>
          <w:i/>
        </w:rPr>
        <w:t xml:space="preserve"> J.J.</w:t>
      </w:r>
      <w:r w:rsidRPr="00ED4757">
        <w:t xml:space="preserve">, </w:t>
      </w:r>
      <w:r w:rsidRPr="00A22B24">
        <w:t>préc.</w:t>
      </w:r>
      <w:r>
        <w:t>, note 9</w:t>
      </w:r>
      <w:r w:rsidRPr="00ED4757">
        <w:t xml:space="preserve">, </w:t>
      </w:r>
      <w:r>
        <w:t>par.</w:t>
      </w:r>
      <w:r w:rsidRPr="00ED4757">
        <w:t xml:space="preserve"> </w:t>
      </w:r>
      <w:r>
        <w:t xml:space="preserve">59; </w:t>
      </w:r>
      <w:r w:rsidRPr="00ED4757">
        <w:rPr>
          <w:i/>
        </w:rPr>
        <w:t xml:space="preserve">Infineon Technologies AG </w:t>
      </w:r>
      <w:r>
        <w:t>c</w:t>
      </w:r>
      <w:r w:rsidRPr="009548BF">
        <w:t>.</w:t>
      </w:r>
      <w:r w:rsidRPr="00ED4757">
        <w:rPr>
          <w:i/>
        </w:rPr>
        <w:t xml:space="preserve"> Option consommateurs</w:t>
      </w:r>
      <w:r>
        <w:t xml:space="preserve">, </w:t>
      </w:r>
      <w:r w:rsidRPr="00A22B24">
        <w:t>préc.</w:t>
      </w:r>
      <w:r w:rsidRPr="00FD0BAD">
        <w:rPr>
          <w:i/>
        </w:rPr>
        <w:t>,</w:t>
      </w:r>
      <w:r>
        <w:t xml:space="preserve"> note 4,</w:t>
      </w:r>
      <w:r w:rsidRPr="00ED4757">
        <w:t xml:space="preserve"> </w:t>
      </w:r>
      <w:r>
        <w:t>par.</w:t>
      </w:r>
      <w:r w:rsidRPr="00ED4757">
        <w:t xml:space="preserve"> 6</w:t>
      </w:r>
      <w:r>
        <w:t xml:space="preserve">7; </w:t>
      </w:r>
      <w:r w:rsidRPr="00F3598E">
        <w:rPr>
          <w:i/>
        </w:rPr>
        <w:t xml:space="preserve">Charles </w:t>
      </w:r>
      <w:r w:rsidRPr="00F9722A">
        <w:t>c.</w:t>
      </w:r>
      <w:r w:rsidRPr="00F3598E">
        <w:rPr>
          <w:i/>
        </w:rPr>
        <w:t xml:space="preserve"> Boiron Canada inc.</w:t>
      </w:r>
      <w:r w:rsidRPr="00F3598E">
        <w:t xml:space="preserve">, </w:t>
      </w:r>
      <w:r w:rsidRPr="00A22B24">
        <w:t>préc.</w:t>
      </w:r>
      <w:r w:rsidRPr="00197400">
        <w:rPr>
          <w:i/>
        </w:rPr>
        <w:t>,</w:t>
      </w:r>
      <w:r>
        <w:t xml:space="preserve"> note 10, par. 43.</w:t>
      </w:r>
    </w:p>
  </w:footnote>
  <w:footnote w:id="19">
    <w:p w14:paraId="1E6D0447" w14:textId="77777777" w:rsidR="00E34FF2" w:rsidRPr="00FD0BAD" w:rsidRDefault="00B2678F" w:rsidP="00E34FF2">
      <w:pPr>
        <w:pStyle w:val="Notedebasdepage"/>
      </w:pPr>
      <w:r>
        <w:rPr>
          <w:rStyle w:val="Appelnotedebasdep"/>
        </w:rPr>
        <w:footnoteRef/>
      </w:r>
      <w:r w:rsidRPr="00FD0BAD">
        <w:t xml:space="preserve"> </w:t>
      </w:r>
      <w:r>
        <w:tab/>
      </w:r>
      <w:r w:rsidRPr="00046979">
        <w:rPr>
          <w:i/>
        </w:rPr>
        <w:t xml:space="preserve">Desjardins Cabinet de services financiers inc. </w:t>
      </w:r>
      <w:r w:rsidRPr="00A22B24">
        <w:t>c.</w:t>
      </w:r>
      <w:r w:rsidRPr="00046979">
        <w:rPr>
          <w:i/>
        </w:rPr>
        <w:t xml:space="preserve"> Asselin</w:t>
      </w:r>
      <w:r w:rsidRPr="00046979">
        <w:t xml:space="preserve">, </w:t>
      </w:r>
      <w:r>
        <w:t>préc., note 10,</w:t>
      </w:r>
      <w:r w:rsidRPr="00046979">
        <w:t xml:space="preserve"> par. </w:t>
      </w:r>
      <w:r>
        <w:t xml:space="preserve">71; </w:t>
      </w:r>
      <w:r w:rsidRPr="00ED4757">
        <w:rPr>
          <w:i/>
        </w:rPr>
        <w:t>L’Oratoire Saint</w:t>
      </w:r>
      <w:r w:rsidRPr="00ED4757">
        <w:rPr>
          <w:rFonts w:ascii="Cambria Math" w:hAnsi="Cambria Math" w:cs="Cambria Math"/>
          <w:i/>
        </w:rPr>
        <w:t>‑</w:t>
      </w:r>
      <w:r w:rsidRPr="00ED4757">
        <w:rPr>
          <w:i/>
        </w:rPr>
        <w:t>Joseph du Mont</w:t>
      </w:r>
      <w:r w:rsidRPr="00ED4757">
        <w:rPr>
          <w:rFonts w:ascii="Cambria Math" w:hAnsi="Cambria Math" w:cs="Cambria Math"/>
          <w:i/>
        </w:rPr>
        <w:t>‑</w:t>
      </w:r>
      <w:r w:rsidRPr="00ED4757">
        <w:rPr>
          <w:i/>
        </w:rPr>
        <w:t xml:space="preserve">Royal </w:t>
      </w:r>
      <w:r>
        <w:t>c</w:t>
      </w:r>
      <w:r w:rsidRPr="009548BF">
        <w:t>.</w:t>
      </w:r>
      <w:r w:rsidRPr="00ED4757">
        <w:rPr>
          <w:i/>
        </w:rPr>
        <w:t xml:space="preserve"> </w:t>
      </w:r>
      <w:r w:rsidRPr="00D42B0A">
        <w:rPr>
          <w:i/>
        </w:rPr>
        <w:t>J.J.</w:t>
      </w:r>
      <w:r w:rsidRPr="00D42B0A">
        <w:t xml:space="preserve">, </w:t>
      </w:r>
      <w:r w:rsidRPr="00A22B24">
        <w:t>préc.</w:t>
      </w:r>
      <w:r w:rsidRPr="00D42B0A">
        <w:t xml:space="preserve">, note </w:t>
      </w:r>
      <w:r>
        <w:t>9</w:t>
      </w:r>
      <w:r w:rsidRPr="00D42B0A">
        <w:t xml:space="preserve">, </w:t>
      </w:r>
      <w:r>
        <w:t>par.</w:t>
      </w:r>
      <w:r w:rsidRPr="00D42B0A">
        <w:t xml:space="preserve"> </w:t>
      </w:r>
      <w:r>
        <w:t>7 et 58</w:t>
      </w:r>
      <w:r w:rsidRPr="009433AD">
        <w:t>;</w:t>
      </w:r>
      <w:r>
        <w:t xml:space="preserve"> </w:t>
      </w:r>
      <w:r w:rsidRPr="0023310C">
        <w:rPr>
          <w:i/>
        </w:rPr>
        <w:t xml:space="preserve">Vivendi Canada inc. </w:t>
      </w:r>
      <w:r>
        <w:t>c</w:t>
      </w:r>
      <w:r w:rsidRPr="00F9722A">
        <w:t>.</w:t>
      </w:r>
      <w:r w:rsidRPr="0023310C">
        <w:rPr>
          <w:i/>
        </w:rPr>
        <w:t xml:space="preserve"> Dell’Aniello</w:t>
      </w:r>
      <w:r w:rsidRPr="0023310C">
        <w:t xml:space="preserve">, </w:t>
      </w:r>
      <w:r>
        <w:t xml:space="preserve">préc., note 10, par. 37; </w:t>
      </w:r>
      <w:r w:rsidRPr="00ED4757">
        <w:rPr>
          <w:i/>
        </w:rPr>
        <w:t xml:space="preserve">Infineon Technologies AG </w:t>
      </w:r>
      <w:r>
        <w:t>c</w:t>
      </w:r>
      <w:r w:rsidRPr="009548BF">
        <w:t>.</w:t>
      </w:r>
      <w:r w:rsidRPr="00ED4757">
        <w:rPr>
          <w:i/>
        </w:rPr>
        <w:t xml:space="preserve"> Option consommateurs</w:t>
      </w:r>
      <w:r>
        <w:t xml:space="preserve">, </w:t>
      </w:r>
      <w:r w:rsidR="00221FEE" w:rsidRPr="00A22B24">
        <w:t>préc.</w:t>
      </w:r>
      <w:r w:rsidR="00221FEE" w:rsidRPr="00FD0BAD">
        <w:rPr>
          <w:i/>
        </w:rPr>
        <w:t>,</w:t>
      </w:r>
      <w:r w:rsidR="00221FEE">
        <w:t xml:space="preserve"> note </w:t>
      </w:r>
      <w:r>
        <w:t>4,</w:t>
      </w:r>
      <w:r w:rsidRPr="00ED4757">
        <w:t xml:space="preserve"> </w:t>
      </w:r>
      <w:r>
        <w:t>par.</w:t>
      </w:r>
      <w:r w:rsidRPr="00ED4757">
        <w:t xml:space="preserve"> </w:t>
      </w:r>
      <w:r>
        <w:t>58</w:t>
      </w:r>
      <w:r w:rsidR="005A7E3A">
        <w:t xml:space="preserve">, </w:t>
      </w:r>
      <w:r>
        <w:t>59, 61</w:t>
      </w:r>
      <w:r w:rsidR="005A7E3A">
        <w:t>,</w:t>
      </w:r>
      <w:r>
        <w:t xml:space="preserve"> </w:t>
      </w:r>
      <w:r w:rsidRPr="00ED4757">
        <w:t>65</w:t>
      </w:r>
      <w:r w:rsidR="005A7E3A">
        <w:t xml:space="preserve"> et </w:t>
      </w:r>
      <w:r>
        <w:t>66;</w:t>
      </w:r>
      <w:r w:rsidRPr="00B24247">
        <w:t xml:space="preserve"> </w:t>
      </w:r>
      <w:r w:rsidRPr="00B24247">
        <w:rPr>
          <w:i/>
        </w:rPr>
        <w:t xml:space="preserve">Sibiga </w:t>
      </w:r>
      <w:r w:rsidRPr="005E2A8B">
        <w:rPr>
          <w:iCs/>
        </w:rPr>
        <w:t>c.</w:t>
      </w:r>
      <w:r w:rsidRPr="00B24247">
        <w:rPr>
          <w:i/>
        </w:rPr>
        <w:t xml:space="preserve"> Fido Solutions inc.</w:t>
      </w:r>
      <w:r w:rsidRPr="00B24247">
        <w:t xml:space="preserve">, 2016 QCCA 1299, par. </w:t>
      </w:r>
      <w:r>
        <w:t>52.</w:t>
      </w:r>
    </w:p>
  </w:footnote>
  <w:footnote w:id="20">
    <w:p w14:paraId="5749D47C" w14:textId="77777777" w:rsidR="00E34FF2" w:rsidRPr="00B46E79" w:rsidRDefault="00B2678F" w:rsidP="00E34FF2">
      <w:pPr>
        <w:pStyle w:val="Notedebasdepage"/>
      </w:pPr>
      <w:r>
        <w:rPr>
          <w:rStyle w:val="Appelnotedebasdep"/>
        </w:rPr>
        <w:footnoteRef/>
      </w:r>
      <w:r w:rsidRPr="00B46E79">
        <w:t xml:space="preserve"> </w:t>
      </w:r>
      <w:r w:rsidRPr="00B46E79">
        <w:tab/>
      </w:r>
      <w:r>
        <w:rPr>
          <w:i/>
        </w:rPr>
        <w:t>Desjardins Cabinet de services financiers inc.</w:t>
      </w:r>
      <w:r>
        <w:t xml:space="preserve"> c. </w:t>
      </w:r>
      <w:r>
        <w:rPr>
          <w:i/>
        </w:rPr>
        <w:t>Asselin</w:t>
      </w:r>
      <w:r>
        <w:t xml:space="preserve">, </w:t>
      </w:r>
      <w:r w:rsidRPr="00A22B24">
        <w:t>préc.</w:t>
      </w:r>
      <w:r w:rsidRPr="007D4363">
        <w:rPr>
          <w:i/>
        </w:rPr>
        <w:t>,</w:t>
      </w:r>
      <w:r>
        <w:t xml:space="preserve"> note 10, par. 16 et 17.</w:t>
      </w:r>
    </w:p>
  </w:footnote>
  <w:footnote w:id="21">
    <w:p w14:paraId="466977D5" w14:textId="77777777" w:rsidR="00E34FF2" w:rsidRPr="007044A2" w:rsidRDefault="00B2678F" w:rsidP="00E34FF2">
      <w:pPr>
        <w:pStyle w:val="Notedebasdepage"/>
      </w:pPr>
      <w:r>
        <w:rPr>
          <w:rStyle w:val="Appelnotedebasdep"/>
        </w:rPr>
        <w:footnoteRef/>
      </w:r>
      <w:r w:rsidRPr="00FD0BAD">
        <w:t xml:space="preserve"> </w:t>
      </w:r>
      <w:r>
        <w:tab/>
      </w:r>
      <w:r w:rsidRPr="00ED4757">
        <w:rPr>
          <w:i/>
        </w:rPr>
        <w:t>L’Oratoire Saint</w:t>
      </w:r>
      <w:r w:rsidRPr="00ED4757">
        <w:rPr>
          <w:rFonts w:ascii="Cambria Math" w:hAnsi="Cambria Math" w:cs="Cambria Math"/>
          <w:i/>
        </w:rPr>
        <w:t>‑</w:t>
      </w:r>
      <w:r w:rsidRPr="00ED4757">
        <w:rPr>
          <w:i/>
        </w:rPr>
        <w:t>Joseph du Mont</w:t>
      </w:r>
      <w:r w:rsidRPr="00ED4757">
        <w:rPr>
          <w:rFonts w:ascii="Cambria Math" w:hAnsi="Cambria Math" w:cs="Cambria Math"/>
          <w:i/>
        </w:rPr>
        <w:t>‑</w:t>
      </w:r>
      <w:r w:rsidRPr="00ED4757">
        <w:rPr>
          <w:i/>
        </w:rPr>
        <w:t xml:space="preserve">Royal </w:t>
      </w:r>
      <w:r>
        <w:t>c</w:t>
      </w:r>
      <w:r w:rsidRPr="009548BF">
        <w:t>.</w:t>
      </w:r>
      <w:r w:rsidRPr="00ED4757">
        <w:rPr>
          <w:i/>
        </w:rPr>
        <w:t xml:space="preserve"> J.J.</w:t>
      </w:r>
      <w:r w:rsidRPr="00ED4757">
        <w:t xml:space="preserve">, </w:t>
      </w:r>
      <w:r w:rsidRPr="00A22B24">
        <w:t>préc.</w:t>
      </w:r>
      <w:r>
        <w:t>, note 9</w:t>
      </w:r>
      <w:r w:rsidRPr="00ED4757">
        <w:t xml:space="preserve">, </w:t>
      </w:r>
      <w:r>
        <w:t>par.</w:t>
      </w:r>
      <w:r w:rsidRPr="00ED4757">
        <w:t xml:space="preserve"> </w:t>
      </w:r>
      <w:r>
        <w:t xml:space="preserve">59; </w:t>
      </w:r>
      <w:r w:rsidRPr="00ED4757">
        <w:rPr>
          <w:i/>
        </w:rPr>
        <w:t xml:space="preserve">Infineon Technologies AG </w:t>
      </w:r>
      <w:r>
        <w:t>c</w:t>
      </w:r>
      <w:r w:rsidRPr="009548BF">
        <w:t>.</w:t>
      </w:r>
      <w:r w:rsidRPr="00ED4757">
        <w:rPr>
          <w:i/>
        </w:rPr>
        <w:t xml:space="preserve"> Option consommateurs</w:t>
      </w:r>
      <w:r>
        <w:t xml:space="preserve">, </w:t>
      </w:r>
      <w:r w:rsidR="00221FEE" w:rsidRPr="00A22B24">
        <w:t>préc.</w:t>
      </w:r>
      <w:r w:rsidR="00221FEE" w:rsidRPr="00FD0BAD">
        <w:rPr>
          <w:i/>
        </w:rPr>
        <w:t>,</w:t>
      </w:r>
      <w:r w:rsidR="00221FEE">
        <w:t xml:space="preserve"> note </w:t>
      </w:r>
      <w:r>
        <w:t>4,</w:t>
      </w:r>
      <w:r w:rsidRPr="00ED4757">
        <w:t xml:space="preserve"> </w:t>
      </w:r>
      <w:r>
        <w:t>par.</w:t>
      </w:r>
      <w:r w:rsidRPr="00ED4757">
        <w:t xml:space="preserve"> </w:t>
      </w:r>
      <w:r w:rsidRPr="008D6C43">
        <w:t>67</w:t>
      </w:r>
      <w:r w:rsidR="00160998">
        <w:t xml:space="preserve"> et </w:t>
      </w:r>
      <w:r>
        <w:t>68</w:t>
      </w:r>
      <w:r w:rsidRPr="008D6C43">
        <w:t xml:space="preserve">; </w:t>
      </w:r>
      <w:r w:rsidRPr="00275AC3">
        <w:rPr>
          <w:i/>
        </w:rPr>
        <w:t xml:space="preserve">Karras </w:t>
      </w:r>
      <w:r w:rsidRPr="005E2A8B">
        <w:rPr>
          <w:iCs/>
        </w:rPr>
        <w:t>c.</w:t>
      </w:r>
      <w:r w:rsidRPr="00275AC3">
        <w:rPr>
          <w:i/>
        </w:rPr>
        <w:t xml:space="preserve"> Société des loteries du Québec</w:t>
      </w:r>
      <w:r w:rsidRPr="00275AC3">
        <w:t>, 2019 QCCA 813, par. 28</w:t>
      </w:r>
      <w:r>
        <w:t>;</w:t>
      </w:r>
      <w:r w:rsidRPr="00275AC3">
        <w:t xml:space="preserve"> </w:t>
      </w:r>
      <w:r w:rsidRPr="008D6C43">
        <w:rPr>
          <w:i/>
        </w:rPr>
        <w:t xml:space="preserve">Benamor </w:t>
      </w:r>
      <w:r w:rsidRPr="00F9722A">
        <w:t>c.</w:t>
      </w:r>
      <w:r w:rsidRPr="008D6C43">
        <w:rPr>
          <w:i/>
        </w:rPr>
        <w:t xml:space="preserve"> Air Canada</w:t>
      </w:r>
      <w:r w:rsidRPr="008D6C43">
        <w:t xml:space="preserve">, </w:t>
      </w:r>
      <w:r w:rsidRPr="00A22B24">
        <w:t>préc.</w:t>
      </w:r>
      <w:r w:rsidRPr="008D6C43">
        <w:rPr>
          <w:i/>
        </w:rPr>
        <w:t>,</w:t>
      </w:r>
      <w:r w:rsidRPr="008D6C43">
        <w:t xml:space="preserve"> note</w:t>
      </w:r>
      <w:r>
        <w:t xml:space="preserve"> 10</w:t>
      </w:r>
      <w:r w:rsidRPr="007044A2">
        <w:t xml:space="preserve">, par. 35 </w:t>
      </w:r>
      <w:r>
        <w:t>et</w:t>
      </w:r>
      <w:r w:rsidRPr="007044A2">
        <w:t xml:space="preserve"> 44; </w:t>
      </w:r>
      <w:r w:rsidRPr="007044A2">
        <w:rPr>
          <w:i/>
        </w:rPr>
        <w:t xml:space="preserve">Baratto </w:t>
      </w:r>
      <w:r w:rsidRPr="007044A2">
        <w:t xml:space="preserve">c. </w:t>
      </w:r>
      <w:r w:rsidRPr="007044A2">
        <w:rPr>
          <w:i/>
        </w:rPr>
        <w:t>Merck Canada inc.</w:t>
      </w:r>
      <w:r w:rsidRPr="007044A2">
        <w:t>, 2018 QCCA 1240, par. 48 (</w:t>
      </w:r>
      <w:r w:rsidR="00160998">
        <w:t>demande</w:t>
      </w:r>
      <w:r w:rsidR="00160998" w:rsidRPr="007044A2">
        <w:t xml:space="preserve"> </w:t>
      </w:r>
      <w:r w:rsidRPr="007044A2">
        <w:t>en autorisation d'appel à la Cour suprême rejetée (Can C.S., 2019-03-28) 38338)</w:t>
      </w:r>
      <w:r>
        <w:t>;</w:t>
      </w:r>
      <w:r w:rsidRPr="00035EE0">
        <w:rPr>
          <w:i/>
        </w:rPr>
        <w:t xml:space="preserve"> </w:t>
      </w:r>
      <w:r w:rsidRPr="00B55B45">
        <w:rPr>
          <w:i/>
        </w:rPr>
        <w:t xml:space="preserve">Sibiga </w:t>
      </w:r>
      <w:r w:rsidRPr="00B55B45">
        <w:t>c.</w:t>
      </w:r>
      <w:r w:rsidRPr="00B55B45">
        <w:rPr>
          <w:i/>
        </w:rPr>
        <w:t xml:space="preserve"> Fido Solutions inc.</w:t>
      </w:r>
      <w:r w:rsidRPr="00B55B45">
        <w:t xml:space="preserve">, </w:t>
      </w:r>
      <w:r>
        <w:t>préc., note 1918</w:t>
      </w:r>
      <w:r w:rsidRPr="00B55B45">
        <w:t xml:space="preserve">, </w:t>
      </w:r>
      <w:r>
        <w:t>par.</w:t>
      </w:r>
      <w:r w:rsidRPr="00B55B45">
        <w:t xml:space="preserve"> </w:t>
      </w:r>
      <w:r>
        <w:t xml:space="preserve">52; </w:t>
      </w:r>
      <w:r w:rsidRPr="00275AC3">
        <w:rPr>
          <w:i/>
        </w:rPr>
        <w:t xml:space="preserve">Option Consommateurs </w:t>
      </w:r>
      <w:r w:rsidRPr="005E2A8B">
        <w:rPr>
          <w:iCs/>
        </w:rPr>
        <w:t>c.</w:t>
      </w:r>
      <w:r w:rsidRPr="00275AC3">
        <w:rPr>
          <w:i/>
        </w:rPr>
        <w:t xml:space="preserve"> 2642-0398 Québec inc. (Autoplateau Location)</w:t>
      </w:r>
      <w:r w:rsidRPr="00275AC3">
        <w:t>, 2021 QCCS 1988, par. 27</w:t>
      </w:r>
      <w:r w:rsidRPr="00B55B45">
        <w:t>.</w:t>
      </w:r>
    </w:p>
  </w:footnote>
  <w:footnote w:id="22">
    <w:p w14:paraId="5726F79A" w14:textId="77777777" w:rsidR="00E34FF2" w:rsidRPr="00ED4757" w:rsidRDefault="00B2678F" w:rsidP="00E34FF2">
      <w:pPr>
        <w:pStyle w:val="Notedebasdepage"/>
      </w:pPr>
      <w:r>
        <w:rPr>
          <w:rStyle w:val="Appelnotedebasdep"/>
        </w:rPr>
        <w:footnoteRef/>
      </w:r>
      <w:r w:rsidRPr="00ED4757">
        <w:t xml:space="preserve"> </w:t>
      </w:r>
      <w:r>
        <w:tab/>
      </w:r>
      <w:r>
        <w:rPr>
          <w:i/>
        </w:rPr>
        <w:t>Desjardins Cabinet de services financiers inc.</w:t>
      </w:r>
      <w:r>
        <w:t xml:space="preserve"> c. </w:t>
      </w:r>
      <w:r>
        <w:rPr>
          <w:i/>
        </w:rPr>
        <w:t>Asselin</w:t>
      </w:r>
      <w:r>
        <w:t xml:space="preserve">, préc., note 10, par. 16 et 17; </w:t>
      </w:r>
      <w:r w:rsidRPr="00ED4757">
        <w:rPr>
          <w:i/>
        </w:rPr>
        <w:t>L’Oratoire Saint</w:t>
      </w:r>
      <w:r w:rsidRPr="00ED4757">
        <w:rPr>
          <w:rFonts w:ascii="Cambria Math" w:hAnsi="Cambria Math" w:cs="Cambria Math"/>
          <w:i/>
        </w:rPr>
        <w:t>‑</w:t>
      </w:r>
      <w:r w:rsidRPr="00ED4757">
        <w:rPr>
          <w:i/>
        </w:rPr>
        <w:t>Joseph du Mont</w:t>
      </w:r>
      <w:r w:rsidRPr="00ED4757">
        <w:rPr>
          <w:rFonts w:ascii="Cambria Math" w:hAnsi="Cambria Math" w:cs="Cambria Math"/>
          <w:i/>
        </w:rPr>
        <w:t>‑</w:t>
      </w:r>
      <w:r w:rsidRPr="00ED4757">
        <w:rPr>
          <w:i/>
        </w:rPr>
        <w:t xml:space="preserve">Royal </w:t>
      </w:r>
      <w:r>
        <w:t>c</w:t>
      </w:r>
      <w:r w:rsidRPr="009548BF">
        <w:t>.</w:t>
      </w:r>
      <w:r w:rsidRPr="00ED4757">
        <w:rPr>
          <w:i/>
        </w:rPr>
        <w:t xml:space="preserve"> J.J.</w:t>
      </w:r>
      <w:r w:rsidRPr="00ED4757">
        <w:t xml:space="preserve">, </w:t>
      </w:r>
      <w:r w:rsidRPr="00A22B24">
        <w:t>préc.</w:t>
      </w:r>
      <w:r>
        <w:t>, note 9</w:t>
      </w:r>
      <w:r w:rsidRPr="00ED4757">
        <w:t xml:space="preserve">, </w:t>
      </w:r>
      <w:r>
        <w:t>par.</w:t>
      </w:r>
      <w:r w:rsidRPr="00ED4757">
        <w:t xml:space="preserve"> </w:t>
      </w:r>
      <w:r>
        <w:t xml:space="preserve">7 et 22; </w:t>
      </w:r>
      <w:r w:rsidRPr="0023310C">
        <w:rPr>
          <w:i/>
        </w:rPr>
        <w:t xml:space="preserve">Vivendi Canada inc. </w:t>
      </w:r>
      <w:r>
        <w:t>c</w:t>
      </w:r>
      <w:r w:rsidRPr="00F9722A">
        <w:t xml:space="preserve">. </w:t>
      </w:r>
      <w:r w:rsidRPr="0023310C">
        <w:rPr>
          <w:i/>
        </w:rPr>
        <w:t>Dell’Aniello</w:t>
      </w:r>
      <w:r w:rsidRPr="0023310C">
        <w:t xml:space="preserve">, </w:t>
      </w:r>
      <w:r>
        <w:t xml:space="preserve">préc., note 10, par. 37; </w:t>
      </w:r>
      <w:r w:rsidRPr="00ED4757">
        <w:rPr>
          <w:i/>
        </w:rPr>
        <w:t xml:space="preserve">Infineon Technologies AG </w:t>
      </w:r>
      <w:r>
        <w:t>c</w:t>
      </w:r>
      <w:r w:rsidRPr="009548BF">
        <w:t>.</w:t>
      </w:r>
      <w:r w:rsidRPr="00ED4757">
        <w:rPr>
          <w:i/>
        </w:rPr>
        <w:t xml:space="preserve"> Option consommateurs</w:t>
      </w:r>
      <w:r>
        <w:t xml:space="preserve">, </w:t>
      </w:r>
      <w:r w:rsidR="00221FEE" w:rsidRPr="00A22B24">
        <w:t>préc.</w:t>
      </w:r>
      <w:r w:rsidR="00221FEE" w:rsidRPr="00FD0BAD">
        <w:rPr>
          <w:i/>
        </w:rPr>
        <w:t>,</w:t>
      </w:r>
      <w:r w:rsidR="00221FEE">
        <w:t xml:space="preserve"> note </w:t>
      </w:r>
      <w:r>
        <w:t>4,</w:t>
      </w:r>
      <w:r w:rsidRPr="00ED4757">
        <w:t xml:space="preserve"> </w:t>
      </w:r>
      <w:r>
        <w:t>par.</w:t>
      </w:r>
      <w:r w:rsidRPr="00ED4757">
        <w:t xml:space="preserve"> </w:t>
      </w:r>
      <w:r>
        <w:t>65 et 68.</w:t>
      </w:r>
    </w:p>
  </w:footnote>
  <w:footnote w:id="23">
    <w:p w14:paraId="0CF5A4E4" w14:textId="77777777" w:rsidR="00E34FF2" w:rsidRPr="00B55B45" w:rsidRDefault="00B2678F" w:rsidP="00E34FF2">
      <w:pPr>
        <w:pStyle w:val="Notedebasdepage"/>
      </w:pPr>
      <w:r>
        <w:rPr>
          <w:rStyle w:val="Appelnotedebasdep"/>
        </w:rPr>
        <w:footnoteRef/>
      </w:r>
      <w:r w:rsidRPr="00D72534">
        <w:t xml:space="preserve"> </w:t>
      </w:r>
      <w:r>
        <w:tab/>
      </w:r>
      <w:r>
        <w:rPr>
          <w:i/>
        </w:rPr>
        <w:t>Desjardins Cabinet de services financiers inc.</w:t>
      </w:r>
      <w:r>
        <w:t xml:space="preserve"> c. </w:t>
      </w:r>
      <w:r>
        <w:rPr>
          <w:i/>
        </w:rPr>
        <w:t>Asselin</w:t>
      </w:r>
      <w:r>
        <w:t xml:space="preserve">, </w:t>
      </w:r>
      <w:r w:rsidRPr="00A22B24">
        <w:t>préc.</w:t>
      </w:r>
      <w:r w:rsidRPr="007D4363">
        <w:rPr>
          <w:i/>
        </w:rPr>
        <w:t>,</w:t>
      </w:r>
      <w:r>
        <w:t xml:space="preserve"> note 10, par. 55; </w:t>
      </w:r>
      <w:r w:rsidRPr="00ED4757">
        <w:rPr>
          <w:i/>
        </w:rPr>
        <w:t>L’Oratoire Saint</w:t>
      </w:r>
      <w:r w:rsidRPr="00ED4757">
        <w:rPr>
          <w:rFonts w:ascii="Cambria Math" w:hAnsi="Cambria Math" w:cs="Cambria Math"/>
          <w:i/>
        </w:rPr>
        <w:t>‑</w:t>
      </w:r>
      <w:r w:rsidRPr="00ED4757">
        <w:rPr>
          <w:i/>
        </w:rPr>
        <w:t>Joseph du Mont</w:t>
      </w:r>
      <w:r w:rsidRPr="00ED4757">
        <w:rPr>
          <w:rFonts w:ascii="Cambria Math" w:hAnsi="Cambria Math" w:cs="Cambria Math"/>
          <w:i/>
        </w:rPr>
        <w:t>‑</w:t>
      </w:r>
      <w:r w:rsidRPr="00ED4757">
        <w:rPr>
          <w:i/>
        </w:rPr>
        <w:t xml:space="preserve">Royal </w:t>
      </w:r>
      <w:r>
        <w:t>c</w:t>
      </w:r>
      <w:r w:rsidRPr="009548BF">
        <w:t>.</w:t>
      </w:r>
      <w:r w:rsidRPr="00ED4757">
        <w:rPr>
          <w:i/>
        </w:rPr>
        <w:t xml:space="preserve"> J.J.</w:t>
      </w:r>
      <w:r w:rsidRPr="00ED4757">
        <w:t>,</w:t>
      </w:r>
      <w:r w:rsidRPr="0052586F">
        <w:t xml:space="preserve"> </w:t>
      </w:r>
      <w:r w:rsidRPr="00A22B24">
        <w:t>préc.</w:t>
      </w:r>
      <w:r>
        <w:t>, note 9</w:t>
      </w:r>
      <w:r w:rsidRPr="00ED4757">
        <w:t xml:space="preserve">, </w:t>
      </w:r>
      <w:r>
        <w:t>par.</w:t>
      </w:r>
      <w:r w:rsidRPr="00ED4757">
        <w:t xml:space="preserve"> </w:t>
      </w:r>
      <w:r w:rsidRPr="00F46D85">
        <w:t>55;</w:t>
      </w:r>
      <w:r w:rsidRPr="00F46D85">
        <w:rPr>
          <w:i/>
        </w:rPr>
        <w:t xml:space="preserve"> Pilon </w:t>
      </w:r>
      <w:r w:rsidRPr="008B15DE">
        <w:t>c.</w:t>
      </w:r>
      <w:r w:rsidRPr="00F46D85">
        <w:rPr>
          <w:i/>
        </w:rPr>
        <w:t xml:space="preserve"> Banque Amex du Canada, </w:t>
      </w:r>
      <w:r w:rsidRPr="00F46D85">
        <w:t xml:space="preserve">2021 QCCA 414, </w:t>
      </w:r>
      <w:r>
        <w:t>par.</w:t>
      </w:r>
      <w:r w:rsidRPr="00F46D85">
        <w:t xml:space="preserve"> </w:t>
      </w:r>
      <w:r w:rsidRPr="00B55B45">
        <w:t>12</w:t>
      </w:r>
      <w:r>
        <w:t xml:space="preserve"> (</w:t>
      </w:r>
      <w:r w:rsidR="00E70905">
        <w:t>demande</w:t>
      </w:r>
      <w:r w:rsidR="00E70905" w:rsidRPr="000D70EF">
        <w:t xml:space="preserve"> </w:t>
      </w:r>
      <w:r w:rsidRPr="000D70EF">
        <w:t>pour autorisation de pourvoi à la Cour suprême, 2021-05-14 (C.S. Can.) 39669</w:t>
      </w:r>
      <w:r>
        <w:t>)</w:t>
      </w:r>
      <w:r w:rsidRPr="00B55B45">
        <w:t>;</w:t>
      </w:r>
      <w:r w:rsidRPr="00B55B45">
        <w:rPr>
          <w:i/>
        </w:rPr>
        <w:t xml:space="preserve"> Durand </w:t>
      </w:r>
      <w:r w:rsidRPr="00B55B45">
        <w:t>c.</w:t>
      </w:r>
      <w:r w:rsidRPr="00B55B45">
        <w:rPr>
          <w:i/>
        </w:rPr>
        <w:t xml:space="preserve"> Subway Franchise Systems of Canada, </w:t>
      </w:r>
      <w:r w:rsidRPr="00B55B45">
        <w:t xml:space="preserve">2020 QCCA 1647, </w:t>
      </w:r>
      <w:r>
        <w:t>par.</w:t>
      </w:r>
      <w:r w:rsidRPr="00B55B45">
        <w:t xml:space="preserve"> 48 </w:t>
      </w:r>
      <w:r>
        <w:t>à</w:t>
      </w:r>
      <w:r w:rsidRPr="00B55B45">
        <w:t xml:space="preserve"> 54</w:t>
      </w:r>
      <w:r w:rsidR="00E70905">
        <w:t xml:space="preserve"> (d</w:t>
      </w:r>
      <w:r w:rsidR="00E70905" w:rsidRPr="00E70905">
        <w:t>emande pour permission de se désister d'une demande en autorisation d'exercer une action collective accueillie, 2023 QCCS 1795</w:t>
      </w:r>
      <w:r w:rsidR="00E70905">
        <w:t>)</w:t>
      </w:r>
      <w:r w:rsidRPr="00B55B45">
        <w:t>;</w:t>
      </w:r>
      <w:r w:rsidRPr="00B55B45">
        <w:rPr>
          <w:i/>
        </w:rPr>
        <w:t xml:space="preserve"> Benamor </w:t>
      </w:r>
      <w:r w:rsidRPr="00B55B45">
        <w:t>c.</w:t>
      </w:r>
      <w:r w:rsidRPr="00B55B45">
        <w:rPr>
          <w:i/>
        </w:rPr>
        <w:t xml:space="preserve"> Air Canada, </w:t>
      </w:r>
      <w:r w:rsidRPr="00A22B24">
        <w:t>préc.</w:t>
      </w:r>
      <w:r w:rsidRPr="00B55B45">
        <w:rPr>
          <w:i/>
        </w:rPr>
        <w:t xml:space="preserve">, </w:t>
      </w:r>
      <w:r w:rsidRPr="00B55B45">
        <w:t>note</w:t>
      </w:r>
      <w:r>
        <w:t xml:space="preserve"> 10</w:t>
      </w:r>
      <w:r w:rsidRPr="00B55B45">
        <w:t xml:space="preserve">, </w:t>
      </w:r>
      <w:r>
        <w:t>par.</w:t>
      </w:r>
      <w:r w:rsidRPr="00B55B45">
        <w:t xml:space="preserve"> </w:t>
      </w:r>
      <w:r w:rsidRPr="00202A42">
        <w:t xml:space="preserve">42; </w:t>
      </w:r>
      <w:r w:rsidRPr="00202A42">
        <w:rPr>
          <w:i/>
        </w:rPr>
        <w:t xml:space="preserve">Godin </w:t>
      </w:r>
      <w:r w:rsidRPr="00202A42">
        <w:t xml:space="preserve">c. </w:t>
      </w:r>
      <w:r w:rsidRPr="00202A42">
        <w:rPr>
          <w:i/>
        </w:rPr>
        <w:t>Aréna des Canadiens inc.</w:t>
      </w:r>
      <w:r w:rsidRPr="00202A42">
        <w:t xml:space="preserve">, </w:t>
      </w:r>
      <w:r w:rsidRPr="00A22B24">
        <w:t>préc.</w:t>
      </w:r>
      <w:r w:rsidRPr="00202A42">
        <w:t>, note</w:t>
      </w:r>
      <w:r>
        <w:t xml:space="preserve"> 10</w:t>
      </w:r>
      <w:r w:rsidRPr="00202A42">
        <w:t xml:space="preserve">, </w:t>
      </w:r>
      <w:r>
        <w:t>par.</w:t>
      </w:r>
      <w:r w:rsidRPr="00202A42">
        <w:t xml:space="preserve"> 53, 54, 55, 93 </w:t>
      </w:r>
      <w:r>
        <w:t>et</w:t>
      </w:r>
      <w:r w:rsidRPr="00202A42">
        <w:t xml:space="preserve"> 113; </w:t>
      </w:r>
      <w:r w:rsidRPr="00202A42">
        <w:rPr>
          <w:i/>
        </w:rPr>
        <w:t xml:space="preserve">Belmamoun </w:t>
      </w:r>
      <w:r w:rsidRPr="00202A42">
        <w:t xml:space="preserve">c. </w:t>
      </w:r>
      <w:r w:rsidRPr="008B15DE">
        <w:rPr>
          <w:i/>
        </w:rPr>
        <w:t>Ville de</w:t>
      </w:r>
      <w:r>
        <w:rPr>
          <w:i/>
        </w:rPr>
        <w:t xml:space="preserve"> </w:t>
      </w:r>
      <w:r w:rsidRPr="00202A42">
        <w:rPr>
          <w:i/>
        </w:rPr>
        <w:t>Brossard</w:t>
      </w:r>
      <w:r w:rsidRPr="00202A42">
        <w:t xml:space="preserve">, </w:t>
      </w:r>
      <w:r>
        <w:t>préc.</w:t>
      </w:r>
      <w:r w:rsidRPr="00202A42">
        <w:t>, note</w:t>
      </w:r>
      <w:r>
        <w:t xml:space="preserve"> 10</w:t>
      </w:r>
      <w:r w:rsidRPr="00202A42">
        <w:t xml:space="preserve">, </w:t>
      </w:r>
      <w:r>
        <w:t>par.</w:t>
      </w:r>
      <w:r w:rsidRPr="00202A42">
        <w:t xml:space="preserve"> </w:t>
      </w:r>
      <w:r w:rsidRPr="00B55B45">
        <w:t xml:space="preserve">81 </w:t>
      </w:r>
      <w:r>
        <w:t>et</w:t>
      </w:r>
      <w:r w:rsidRPr="00B55B45">
        <w:t xml:space="preserve"> 82; </w:t>
      </w:r>
      <w:r w:rsidRPr="00B55B45">
        <w:rPr>
          <w:i/>
        </w:rPr>
        <w:t xml:space="preserve">Sibiga </w:t>
      </w:r>
      <w:r w:rsidRPr="00B55B45">
        <w:t>c.</w:t>
      </w:r>
      <w:r w:rsidRPr="00B55B45">
        <w:rPr>
          <w:i/>
        </w:rPr>
        <w:t xml:space="preserve"> Fido Solutions inc.</w:t>
      </w:r>
      <w:r w:rsidRPr="00B55B45">
        <w:t xml:space="preserve">, </w:t>
      </w:r>
      <w:r>
        <w:t>préc., note 1918</w:t>
      </w:r>
      <w:r w:rsidRPr="00B55B45">
        <w:t xml:space="preserve">, </w:t>
      </w:r>
      <w:r>
        <w:t>par.</w:t>
      </w:r>
      <w:r w:rsidRPr="00B55B45">
        <w:t xml:space="preserve"> 76 </w:t>
      </w:r>
      <w:r>
        <w:t>à</w:t>
      </w:r>
      <w:r w:rsidRPr="00B55B45">
        <w:t xml:space="preserve"> 86.</w:t>
      </w:r>
    </w:p>
  </w:footnote>
  <w:footnote w:id="24">
    <w:p w14:paraId="46C37F6B" w14:textId="77777777" w:rsidR="00E34FF2" w:rsidRPr="00073FC6" w:rsidRDefault="00B2678F" w:rsidP="00E34FF2">
      <w:pPr>
        <w:pStyle w:val="Notedebasdepage"/>
      </w:pPr>
      <w:r>
        <w:rPr>
          <w:rStyle w:val="Appelnotedebasdep"/>
        </w:rPr>
        <w:footnoteRef/>
      </w:r>
      <w:r w:rsidRPr="000D4E50">
        <w:t xml:space="preserve"> </w:t>
      </w:r>
      <w:r w:rsidRPr="000D4E50">
        <w:tab/>
      </w:r>
      <w:r w:rsidRPr="000D4E50">
        <w:rPr>
          <w:i/>
        </w:rPr>
        <w:t xml:space="preserve">Ehouzou </w:t>
      </w:r>
      <w:r w:rsidRPr="005E2A8B">
        <w:rPr>
          <w:iCs/>
        </w:rPr>
        <w:t>c.</w:t>
      </w:r>
      <w:r w:rsidRPr="000D4E50">
        <w:rPr>
          <w:i/>
        </w:rPr>
        <w:t xml:space="preserve"> Manufacturers Life Insurance Company</w:t>
      </w:r>
      <w:r w:rsidRPr="000D4E50">
        <w:t>, 2021 QCCA 1214, par. 45</w:t>
      </w:r>
      <w:r w:rsidR="00C11015">
        <w:t xml:space="preserve"> (demande</w:t>
      </w:r>
      <w:r w:rsidR="00C11015" w:rsidRPr="00C11015">
        <w:t xml:space="preserve"> pour autorisation de pourvoi à la Cour suprême rejetée (C.S. Can., 2022-03-24) 39863</w:t>
      </w:r>
      <w:r w:rsidR="00C11015">
        <w:t>)</w:t>
      </w:r>
      <w:r w:rsidRPr="000D4E50">
        <w:t xml:space="preserve">; </w:t>
      </w:r>
      <w:r w:rsidRPr="000D4E50">
        <w:rPr>
          <w:i/>
        </w:rPr>
        <w:t xml:space="preserve">Champagne </w:t>
      </w:r>
      <w:r w:rsidRPr="005E2A8B">
        <w:rPr>
          <w:iCs/>
        </w:rPr>
        <w:t>c.</w:t>
      </w:r>
      <w:r w:rsidRPr="000D4E50">
        <w:rPr>
          <w:i/>
        </w:rPr>
        <w:t xml:space="preserve"> Subaru Canada inc.</w:t>
      </w:r>
      <w:r w:rsidRPr="000D4E50">
        <w:t>, 2018 QCCA 1554</w:t>
      </w:r>
      <w:r>
        <w:t xml:space="preserve">, par. 22; </w:t>
      </w:r>
      <w:r w:rsidRPr="000D4E50">
        <w:rPr>
          <w:i/>
        </w:rPr>
        <w:t xml:space="preserve">Sofio </w:t>
      </w:r>
      <w:r w:rsidRPr="005E2A8B">
        <w:rPr>
          <w:iCs/>
        </w:rPr>
        <w:t>c.</w:t>
      </w:r>
      <w:r w:rsidRPr="000D4E50">
        <w:rPr>
          <w:i/>
        </w:rPr>
        <w:t xml:space="preserve"> Organisme canadien de réglementation du commerce des valeurs mobilières (OCRCVM)</w:t>
      </w:r>
      <w:r w:rsidRPr="000D4E50">
        <w:t>, 2015 QCCA 1820, par. 10</w:t>
      </w:r>
      <w:r>
        <w:t xml:space="preserve">; </w:t>
      </w:r>
      <w:r w:rsidRPr="000D4E50">
        <w:rPr>
          <w:i/>
        </w:rPr>
        <w:t xml:space="preserve">Beaulieu </w:t>
      </w:r>
      <w:r w:rsidRPr="005E2A8B">
        <w:rPr>
          <w:iCs/>
        </w:rPr>
        <w:t>c.</w:t>
      </w:r>
      <w:r w:rsidRPr="000D4E50">
        <w:rPr>
          <w:i/>
        </w:rPr>
        <w:t xml:space="preserve"> Procureur général du Canada</w:t>
      </w:r>
      <w:r w:rsidRPr="000D4E50">
        <w:t>, 2021 QCCS 4559</w:t>
      </w:r>
      <w:r>
        <w:t xml:space="preserve">, par. 64; </w:t>
      </w:r>
      <w:r w:rsidRPr="000D4E50">
        <w:rPr>
          <w:i/>
        </w:rPr>
        <w:t xml:space="preserve">Lehouillier-Dumas </w:t>
      </w:r>
      <w:r w:rsidRPr="005E2A8B">
        <w:rPr>
          <w:iCs/>
        </w:rPr>
        <w:t>c.</w:t>
      </w:r>
      <w:r w:rsidRPr="000D4E50">
        <w:rPr>
          <w:i/>
        </w:rPr>
        <w:t xml:space="preserve"> Facebook inc.</w:t>
      </w:r>
      <w:r w:rsidRPr="000D4E50">
        <w:t>, 2021 QCCS 3524</w:t>
      </w:r>
      <w:r>
        <w:t xml:space="preserve">, par. 105; </w:t>
      </w:r>
      <w:r w:rsidRPr="000D4E50">
        <w:rPr>
          <w:i/>
        </w:rPr>
        <w:t xml:space="preserve">Hazan </w:t>
      </w:r>
      <w:r w:rsidRPr="005E2A8B">
        <w:rPr>
          <w:iCs/>
        </w:rPr>
        <w:t>c.</w:t>
      </w:r>
      <w:r w:rsidRPr="000D4E50">
        <w:rPr>
          <w:i/>
        </w:rPr>
        <w:t xml:space="preserve"> Micron Technology inc.</w:t>
      </w:r>
      <w:r w:rsidRPr="000D4E50">
        <w:t>, 2021 QCCS 2710</w:t>
      </w:r>
      <w:r>
        <w:t>, par. 20</w:t>
      </w:r>
      <w:r w:rsidR="00520534">
        <w:t xml:space="preserve"> (a</w:t>
      </w:r>
      <w:r w:rsidR="00520534" w:rsidRPr="00520534">
        <w:t>ppel rejeté, 2023 QCCA 132</w:t>
      </w:r>
      <w:r w:rsidR="00520534">
        <w:t>)</w:t>
      </w:r>
      <w:r>
        <w:t xml:space="preserve">; </w:t>
      </w:r>
      <w:r w:rsidRPr="000D4E50">
        <w:rPr>
          <w:i/>
        </w:rPr>
        <w:t xml:space="preserve">Saurette </w:t>
      </w:r>
      <w:r w:rsidRPr="005E2A8B">
        <w:rPr>
          <w:iCs/>
        </w:rPr>
        <w:t>c.</w:t>
      </w:r>
      <w:r w:rsidRPr="000D4E50">
        <w:rPr>
          <w:i/>
        </w:rPr>
        <w:t xml:space="preserve"> Astrazeneca Canada inc.</w:t>
      </w:r>
      <w:r w:rsidRPr="000D4E50">
        <w:t>, 2019 QCCS 3323, par</w:t>
      </w:r>
      <w:r>
        <w:t>.</w:t>
      </w:r>
      <w:r w:rsidRPr="000D4E50">
        <w:t xml:space="preserve"> 24</w:t>
      </w:r>
      <w:r>
        <w:t>.</w:t>
      </w:r>
    </w:p>
  </w:footnote>
  <w:footnote w:id="25">
    <w:p w14:paraId="54FBF560" w14:textId="77777777" w:rsidR="00E34FF2" w:rsidRDefault="00B2678F" w:rsidP="00E34FF2">
      <w:pPr>
        <w:pStyle w:val="Notedebasdepage"/>
      </w:pPr>
      <w:r>
        <w:rPr>
          <w:rStyle w:val="Appelnotedebasdep"/>
        </w:rPr>
        <w:footnoteRef/>
      </w:r>
      <w:r>
        <w:t xml:space="preserve"> </w:t>
      </w:r>
      <w:r>
        <w:tab/>
      </w:r>
      <w:r w:rsidRPr="003703E5">
        <w:rPr>
          <w:i/>
          <w:iCs/>
        </w:rPr>
        <w:t xml:space="preserve">Gauthier </w:t>
      </w:r>
      <w:r w:rsidRPr="005E2A8B">
        <w:t>c.</w:t>
      </w:r>
      <w:r w:rsidRPr="003703E5">
        <w:rPr>
          <w:i/>
          <w:iCs/>
        </w:rPr>
        <w:t xml:space="preserve"> Bombardier inc.</w:t>
      </w:r>
      <w:r w:rsidRPr="003703E5">
        <w:t>, 2026 QCCA 148</w:t>
      </w:r>
      <w:r>
        <w:t>, par. 21;</w:t>
      </w:r>
      <w:r w:rsidRPr="003703E5">
        <w:t xml:space="preserve"> </w:t>
      </w:r>
      <w:r w:rsidRPr="003703E5">
        <w:rPr>
          <w:i/>
          <w:iCs/>
        </w:rPr>
        <w:t xml:space="preserve">Poitras </w:t>
      </w:r>
      <w:r w:rsidRPr="005E2A8B">
        <w:t>c.</w:t>
      </w:r>
      <w:r w:rsidRPr="003703E5">
        <w:rPr>
          <w:i/>
          <w:iCs/>
        </w:rPr>
        <w:t xml:space="preserve"> Concession A25</w:t>
      </w:r>
      <w:r w:rsidRPr="003703E5">
        <w:t>, 2021 QCCA 1182</w:t>
      </w:r>
      <w:r>
        <w:t xml:space="preserve"> (</w:t>
      </w:r>
      <w:r w:rsidRPr="003703E5">
        <w:t>demande d’autorisation d’appel à la Cour suprême rejetée, 3 mars 2022, n°39860</w:t>
      </w:r>
      <w:r>
        <w:t>).</w:t>
      </w:r>
    </w:p>
  </w:footnote>
  <w:footnote w:id="26">
    <w:p w14:paraId="610144FB" w14:textId="77777777" w:rsidR="00E34FF2" w:rsidRDefault="00B2678F" w:rsidP="00E34FF2">
      <w:pPr>
        <w:pStyle w:val="Notedebasdepage"/>
      </w:pPr>
      <w:r>
        <w:rPr>
          <w:rStyle w:val="Appelnotedebasdep"/>
        </w:rPr>
        <w:footnoteRef/>
      </w:r>
      <w:r>
        <w:t xml:space="preserve"> </w:t>
      </w:r>
      <w:r>
        <w:tab/>
      </w:r>
      <w:r w:rsidRPr="003703E5">
        <w:rPr>
          <w:i/>
          <w:iCs/>
        </w:rPr>
        <w:t xml:space="preserve">Gauthier </w:t>
      </w:r>
      <w:r w:rsidRPr="005E2A8B">
        <w:t>c.</w:t>
      </w:r>
      <w:r w:rsidRPr="003703E5">
        <w:rPr>
          <w:i/>
          <w:iCs/>
        </w:rPr>
        <w:t xml:space="preserve"> Bombardier inc.</w:t>
      </w:r>
      <w:r w:rsidRPr="003703E5">
        <w:t xml:space="preserve">, </w:t>
      </w:r>
      <w:r w:rsidR="00520534">
        <w:t xml:space="preserve">préc., note </w:t>
      </w:r>
      <w:r>
        <w:t>25</w:t>
      </w:r>
      <w:r w:rsidRPr="003703E5">
        <w:t>, par. 2</w:t>
      </w:r>
      <w:r>
        <w:t xml:space="preserve">3; </w:t>
      </w:r>
      <w:r w:rsidRPr="003703E5">
        <w:rPr>
          <w:i/>
          <w:iCs/>
        </w:rPr>
        <w:t xml:space="preserve">Leduc </w:t>
      </w:r>
      <w:r w:rsidRPr="005E2A8B">
        <w:t>c.</w:t>
      </w:r>
      <w:r w:rsidRPr="003703E5">
        <w:rPr>
          <w:i/>
          <w:iCs/>
        </w:rPr>
        <w:t xml:space="preserve"> Elad Canada inc.</w:t>
      </w:r>
      <w:r w:rsidRPr="003703E5">
        <w:t>, 2024 QCCA 152</w:t>
      </w:r>
      <w:r>
        <w:t>, par. 25</w:t>
      </w:r>
      <w:r w:rsidRPr="003703E5">
        <w:t>.</w:t>
      </w:r>
    </w:p>
  </w:footnote>
  <w:footnote w:id="27">
    <w:p w14:paraId="08C03A9D" w14:textId="77777777" w:rsidR="00E34FF2" w:rsidRPr="00B60EF1" w:rsidRDefault="00B2678F" w:rsidP="00E34FF2">
      <w:pPr>
        <w:pStyle w:val="Notedebasdepage"/>
      </w:pPr>
      <w:r>
        <w:rPr>
          <w:rStyle w:val="Appelnotedebasdep"/>
        </w:rPr>
        <w:footnoteRef/>
      </w:r>
      <w:r w:rsidRPr="00B60EF1">
        <w:t xml:space="preserve"> </w:t>
      </w:r>
      <w:r w:rsidRPr="00B60EF1">
        <w:tab/>
        <w:t>Paragraphes 17 et 18 de la Demande d’autorisation</w:t>
      </w:r>
      <w:r w:rsidR="00520534">
        <w:t>;</w:t>
      </w:r>
      <w:r>
        <w:t xml:space="preserve"> </w:t>
      </w:r>
      <w:r w:rsidR="00520534">
        <w:t>p</w:t>
      </w:r>
      <w:r w:rsidRPr="00B60EF1">
        <w:t xml:space="preserve">ièce </w:t>
      </w:r>
      <w:r>
        <w:t>P-1, p. 5</w:t>
      </w:r>
      <w:r w:rsidR="00520534">
        <w:t>;</w:t>
      </w:r>
      <w:r>
        <w:t xml:space="preserve"> </w:t>
      </w:r>
      <w:r w:rsidR="00520534">
        <w:t>pièce</w:t>
      </w:r>
      <w:r>
        <w:t xml:space="preserve"> </w:t>
      </w:r>
      <w:r w:rsidRPr="00B60EF1">
        <w:t>P-4.</w:t>
      </w:r>
    </w:p>
  </w:footnote>
  <w:footnote w:id="28">
    <w:p w14:paraId="51953BF3" w14:textId="77777777" w:rsidR="00E34FF2" w:rsidRPr="00B60EF1" w:rsidRDefault="00B2678F" w:rsidP="00E34FF2">
      <w:pPr>
        <w:pStyle w:val="Notedebasdepage"/>
      </w:pPr>
      <w:r>
        <w:rPr>
          <w:rStyle w:val="Appelnotedebasdep"/>
        </w:rPr>
        <w:footnoteRef/>
      </w:r>
      <w:r w:rsidRPr="00B60EF1">
        <w:t xml:space="preserve"> </w:t>
      </w:r>
      <w:r w:rsidRPr="00B60EF1">
        <w:tab/>
        <w:t>Paragraphes 20 à 2</w:t>
      </w:r>
      <w:r>
        <w:t xml:space="preserve">4 </w:t>
      </w:r>
      <w:r w:rsidRPr="00B60EF1">
        <w:t>de la Demande d’autorisation</w:t>
      </w:r>
      <w:r w:rsidR="00520534">
        <w:t>;</w:t>
      </w:r>
      <w:r>
        <w:t xml:space="preserve"> </w:t>
      </w:r>
      <w:r w:rsidR="00520534">
        <w:t>p</w:t>
      </w:r>
      <w:r>
        <w:t>ièce P-5.</w:t>
      </w:r>
    </w:p>
  </w:footnote>
  <w:footnote w:id="29">
    <w:p w14:paraId="6529CBD7" w14:textId="77777777" w:rsidR="00E34FF2" w:rsidRPr="001B5282" w:rsidRDefault="00B2678F" w:rsidP="00E34FF2">
      <w:pPr>
        <w:pStyle w:val="Notedebasdepage"/>
      </w:pPr>
      <w:r>
        <w:rPr>
          <w:rStyle w:val="Appelnotedebasdep"/>
        </w:rPr>
        <w:footnoteRef/>
      </w:r>
      <w:r w:rsidRPr="001B5282">
        <w:t xml:space="preserve"> </w:t>
      </w:r>
      <w:r w:rsidRPr="001B5282">
        <w:tab/>
        <w:t>Paragraphe 2</w:t>
      </w:r>
      <w:r>
        <w:t>5</w:t>
      </w:r>
      <w:r w:rsidRPr="001B5282">
        <w:t xml:space="preserve"> de la Demande d’autorisation</w:t>
      </w:r>
      <w:r>
        <w:t>.</w:t>
      </w:r>
    </w:p>
  </w:footnote>
  <w:footnote w:id="30">
    <w:p w14:paraId="0F7DECE5" w14:textId="77777777" w:rsidR="00E34FF2" w:rsidRPr="001B5282" w:rsidRDefault="00B2678F" w:rsidP="00E34FF2">
      <w:pPr>
        <w:pStyle w:val="Notedebasdepage"/>
      </w:pPr>
      <w:r>
        <w:rPr>
          <w:rStyle w:val="Appelnotedebasdep"/>
        </w:rPr>
        <w:footnoteRef/>
      </w:r>
      <w:r w:rsidRPr="001B5282">
        <w:t xml:space="preserve"> </w:t>
      </w:r>
      <w:r w:rsidRPr="001B5282">
        <w:tab/>
        <w:t>Paragraphe 2</w:t>
      </w:r>
      <w:r>
        <w:t>7</w:t>
      </w:r>
      <w:r w:rsidRPr="001B5282">
        <w:t xml:space="preserve"> de la Demande d’autorisation</w:t>
      </w:r>
      <w:r w:rsidR="00520534">
        <w:t>;</w:t>
      </w:r>
      <w:r>
        <w:t xml:space="preserve"> </w:t>
      </w:r>
      <w:r w:rsidR="00520534">
        <w:t>p</w:t>
      </w:r>
      <w:r>
        <w:t>ièce P-6</w:t>
      </w:r>
      <w:r w:rsidRPr="001B5282">
        <w:t>.</w:t>
      </w:r>
    </w:p>
  </w:footnote>
  <w:footnote w:id="31">
    <w:p w14:paraId="6CF5D558" w14:textId="77777777" w:rsidR="00E34FF2" w:rsidRPr="001B5282" w:rsidRDefault="00B2678F" w:rsidP="00E34FF2">
      <w:pPr>
        <w:pStyle w:val="Notedebasdepage"/>
      </w:pPr>
      <w:r>
        <w:rPr>
          <w:rStyle w:val="Appelnotedebasdep"/>
        </w:rPr>
        <w:footnoteRef/>
      </w:r>
      <w:r w:rsidRPr="001B5282">
        <w:t xml:space="preserve"> </w:t>
      </w:r>
      <w:r w:rsidRPr="001B5282">
        <w:tab/>
        <w:t>Paragraphes 2</w:t>
      </w:r>
      <w:r>
        <w:t>9 et 30</w:t>
      </w:r>
      <w:r w:rsidRPr="001B5282">
        <w:t xml:space="preserve"> de la Demande d’autorisation</w:t>
      </w:r>
      <w:r w:rsidR="00520534">
        <w:t>;</w:t>
      </w:r>
      <w:r>
        <w:t xml:space="preserve"> </w:t>
      </w:r>
      <w:r w:rsidR="00520534">
        <w:t>p</w:t>
      </w:r>
      <w:r w:rsidRPr="001B5282">
        <w:t xml:space="preserve">ièce </w:t>
      </w:r>
      <w:r>
        <w:t>P-1, annexe 2</w:t>
      </w:r>
      <w:r w:rsidR="00520534">
        <w:t>;</w:t>
      </w:r>
      <w:r>
        <w:t xml:space="preserve"> </w:t>
      </w:r>
      <w:r w:rsidR="00520534">
        <w:t>pièce</w:t>
      </w:r>
      <w:r>
        <w:t xml:space="preserve"> </w:t>
      </w:r>
      <w:r w:rsidRPr="001B5282">
        <w:t>P-</w:t>
      </w:r>
      <w:r>
        <w:t>7</w:t>
      </w:r>
      <w:r w:rsidRPr="001B5282">
        <w:t>.</w:t>
      </w:r>
    </w:p>
  </w:footnote>
  <w:footnote w:id="32">
    <w:p w14:paraId="2E068E1A" w14:textId="77777777" w:rsidR="00E34FF2" w:rsidRPr="00750225" w:rsidRDefault="00B2678F" w:rsidP="00E34FF2">
      <w:pPr>
        <w:pStyle w:val="Notedebasdepage"/>
      </w:pPr>
      <w:r>
        <w:rPr>
          <w:rStyle w:val="Appelnotedebasdep"/>
        </w:rPr>
        <w:footnoteRef/>
      </w:r>
      <w:r w:rsidRPr="00750225">
        <w:t xml:space="preserve"> </w:t>
      </w:r>
      <w:r w:rsidRPr="00750225">
        <w:tab/>
        <w:t>Pièce P-1, p. 12.</w:t>
      </w:r>
    </w:p>
  </w:footnote>
  <w:footnote w:id="33">
    <w:p w14:paraId="4C863C1C" w14:textId="77777777" w:rsidR="00E34FF2" w:rsidRDefault="00B2678F" w:rsidP="00E34FF2">
      <w:pPr>
        <w:pStyle w:val="Notedebasdepage"/>
      </w:pPr>
      <w:r>
        <w:rPr>
          <w:rStyle w:val="Appelnotedebasdep"/>
        </w:rPr>
        <w:footnoteRef/>
      </w:r>
      <w:r>
        <w:t xml:space="preserve"> </w:t>
      </w:r>
      <w:r>
        <w:tab/>
      </w:r>
      <w:r w:rsidRPr="00750225">
        <w:rPr>
          <w:i/>
          <w:iCs/>
        </w:rPr>
        <w:t xml:space="preserve">Aubry </w:t>
      </w:r>
      <w:r w:rsidRPr="005E2A8B">
        <w:t>c.</w:t>
      </w:r>
      <w:r w:rsidRPr="00750225">
        <w:rPr>
          <w:i/>
          <w:iCs/>
        </w:rPr>
        <w:t xml:space="preserve"> Éditions Vice-Versa inc.</w:t>
      </w:r>
      <w:r w:rsidRPr="00750225">
        <w:t xml:space="preserve">, [1998] 1 R.C.S. 591, par. 74; </w:t>
      </w:r>
      <w:r w:rsidRPr="00750225">
        <w:rPr>
          <w:i/>
          <w:iCs/>
        </w:rPr>
        <w:t xml:space="preserve">Laoun </w:t>
      </w:r>
      <w:r w:rsidRPr="005E2A8B">
        <w:t>c.</w:t>
      </w:r>
      <w:r w:rsidRPr="00750225">
        <w:rPr>
          <w:i/>
          <w:iCs/>
        </w:rPr>
        <w:t xml:space="preserve"> Malo</w:t>
      </w:r>
      <w:r w:rsidRPr="00750225">
        <w:t>, [2003] R.J.Q. 381 (C.A.), par. 87 à 91.</w:t>
      </w:r>
    </w:p>
  </w:footnote>
  <w:footnote w:id="34">
    <w:p w14:paraId="54BCCEA5" w14:textId="77777777" w:rsidR="00E34FF2" w:rsidRPr="00E34FF2" w:rsidRDefault="00B2678F" w:rsidP="00E34FF2">
      <w:pPr>
        <w:pStyle w:val="Notedebasdepage"/>
      </w:pPr>
      <w:r>
        <w:rPr>
          <w:rStyle w:val="Appelnotedebasdep"/>
        </w:rPr>
        <w:footnoteRef/>
      </w:r>
      <w:r w:rsidRPr="00E34FF2">
        <w:t xml:space="preserve"> </w:t>
      </w:r>
      <w:r w:rsidRPr="00E34FF2">
        <w:tab/>
        <w:t>Art. 1457 C.c.Q.</w:t>
      </w:r>
    </w:p>
  </w:footnote>
  <w:footnote w:id="35">
    <w:p w14:paraId="6A506CED" w14:textId="77777777" w:rsidR="00E34FF2" w:rsidRDefault="00B2678F" w:rsidP="00E34FF2">
      <w:pPr>
        <w:pStyle w:val="Notedebasdepage"/>
      </w:pPr>
      <w:r>
        <w:rPr>
          <w:rStyle w:val="Appelnotedebasdep"/>
        </w:rPr>
        <w:footnoteRef/>
      </w:r>
      <w:r>
        <w:t xml:space="preserve"> </w:t>
      </w:r>
      <w:r>
        <w:tab/>
      </w:r>
      <w:r w:rsidRPr="002A0514">
        <w:rPr>
          <w:i/>
          <w:iCs/>
        </w:rPr>
        <w:t xml:space="preserve">Lehouillier-Dumas </w:t>
      </w:r>
      <w:r w:rsidRPr="005E2A8B">
        <w:t>c.</w:t>
      </w:r>
      <w:r w:rsidRPr="002A0514">
        <w:rPr>
          <w:i/>
          <w:iCs/>
        </w:rPr>
        <w:t xml:space="preserve"> Facebook inc.</w:t>
      </w:r>
      <w:r w:rsidRPr="00926540">
        <w:t xml:space="preserve">, </w:t>
      </w:r>
      <w:r w:rsidR="009A68AF">
        <w:t xml:space="preserve">préc., note </w:t>
      </w:r>
      <w:r>
        <w:t>24, par. 60</w:t>
      </w:r>
      <w:r w:rsidR="00520534">
        <w:t>.</w:t>
      </w:r>
    </w:p>
  </w:footnote>
  <w:footnote w:id="36">
    <w:p w14:paraId="2A6FA9E6" w14:textId="77777777" w:rsidR="00E34FF2" w:rsidRDefault="00B2678F" w:rsidP="00E34FF2">
      <w:pPr>
        <w:pStyle w:val="Notedebasdepage"/>
      </w:pPr>
      <w:r>
        <w:rPr>
          <w:rStyle w:val="Appelnotedebasdep"/>
        </w:rPr>
        <w:footnoteRef/>
      </w:r>
      <w:r>
        <w:t xml:space="preserve"> </w:t>
      </w:r>
      <w:r>
        <w:tab/>
      </w:r>
      <w:r w:rsidRPr="00366316">
        <w:rPr>
          <w:i/>
          <w:iCs/>
        </w:rPr>
        <w:t xml:space="preserve">A.B. </w:t>
      </w:r>
      <w:r w:rsidRPr="005E2A8B">
        <w:t>c.</w:t>
      </w:r>
      <w:r w:rsidRPr="00366316">
        <w:rPr>
          <w:i/>
          <w:iCs/>
        </w:rPr>
        <w:t xml:space="preserve"> Google</w:t>
      </w:r>
      <w:r w:rsidRPr="00366316">
        <w:t>, 2026 QCCA 157, par</w:t>
      </w:r>
      <w:r>
        <w:t>.</w:t>
      </w:r>
      <w:r w:rsidRPr="00366316">
        <w:t xml:space="preserve"> 61</w:t>
      </w:r>
      <w:r w:rsidR="00520534">
        <w:t>.</w:t>
      </w:r>
    </w:p>
  </w:footnote>
  <w:footnote w:id="37">
    <w:p w14:paraId="18D5A251" w14:textId="77777777" w:rsidR="00E34FF2" w:rsidRPr="00684D68" w:rsidRDefault="00B2678F" w:rsidP="00E34FF2">
      <w:pPr>
        <w:pStyle w:val="Notedebasdepage"/>
      </w:pPr>
      <w:r>
        <w:rPr>
          <w:rStyle w:val="Appelnotedebasdep"/>
        </w:rPr>
        <w:footnoteRef/>
      </w:r>
      <w:r w:rsidRPr="00684D68">
        <w:t xml:space="preserve"> </w:t>
      </w:r>
      <w:r w:rsidRPr="00684D68">
        <w:tab/>
      </w:r>
      <w:r w:rsidRPr="00684D68">
        <w:rPr>
          <w:i/>
          <w:iCs/>
        </w:rPr>
        <w:t xml:space="preserve">Gauthier </w:t>
      </w:r>
      <w:r w:rsidRPr="005E2A8B">
        <w:t>c.</w:t>
      </w:r>
      <w:r w:rsidRPr="00684D68">
        <w:rPr>
          <w:i/>
          <w:iCs/>
        </w:rPr>
        <w:t xml:space="preserve"> Facebook Canada Ltd.</w:t>
      </w:r>
      <w:r w:rsidRPr="00684D68">
        <w:t>, 2025 QCCS 1794, par. 78 et</w:t>
      </w:r>
      <w:r>
        <w:t xml:space="preserve"> 79.</w:t>
      </w:r>
    </w:p>
  </w:footnote>
  <w:footnote w:id="38">
    <w:p w14:paraId="56C0B506" w14:textId="77777777" w:rsidR="00E34FF2" w:rsidRDefault="00B2678F" w:rsidP="00E34FF2">
      <w:pPr>
        <w:pStyle w:val="Notedebasdepage"/>
      </w:pPr>
      <w:r>
        <w:rPr>
          <w:rStyle w:val="Appelnotedebasdep"/>
        </w:rPr>
        <w:footnoteRef/>
      </w:r>
      <w:r>
        <w:t xml:space="preserve"> </w:t>
      </w:r>
      <w:r>
        <w:tab/>
      </w:r>
      <w:bookmarkStart w:id="23" w:name="_Hlk228347430"/>
      <w:r>
        <w:t>Conditions d’utilisation, pièce D-1.</w:t>
      </w:r>
      <w:bookmarkEnd w:id="23"/>
    </w:p>
  </w:footnote>
  <w:footnote w:id="39">
    <w:p w14:paraId="39ED787A" w14:textId="77777777" w:rsidR="00E34FF2" w:rsidRDefault="00B2678F" w:rsidP="00E34FF2">
      <w:pPr>
        <w:pStyle w:val="Notedebasdepage"/>
      </w:pPr>
      <w:r>
        <w:rPr>
          <w:rStyle w:val="Appelnotedebasdep"/>
        </w:rPr>
        <w:footnoteRef/>
      </w:r>
      <w:r>
        <w:t xml:space="preserve"> </w:t>
      </w:r>
      <w:r>
        <w:tab/>
      </w:r>
      <w:r w:rsidRPr="00A02886">
        <w:t>Conditions d’utilisation, pièce D-1.</w:t>
      </w:r>
    </w:p>
  </w:footnote>
  <w:footnote w:id="40">
    <w:p w14:paraId="6633BD3B" w14:textId="77777777" w:rsidR="00E34FF2" w:rsidRDefault="00B2678F" w:rsidP="00E34FF2">
      <w:pPr>
        <w:pStyle w:val="Notedebasdepage"/>
      </w:pPr>
      <w:r>
        <w:rPr>
          <w:rStyle w:val="Appelnotedebasdep"/>
        </w:rPr>
        <w:footnoteRef/>
      </w:r>
      <w:r>
        <w:t xml:space="preserve"> </w:t>
      </w:r>
      <w:r>
        <w:tab/>
        <w:t xml:space="preserve">Meta Commercial Terms, </w:t>
      </w:r>
      <w:r w:rsidR="00520534">
        <w:t xml:space="preserve">pièce </w:t>
      </w:r>
      <w:r>
        <w:t>D-4A.</w:t>
      </w:r>
    </w:p>
  </w:footnote>
  <w:footnote w:id="41">
    <w:p w14:paraId="69EF6343" w14:textId="77777777" w:rsidR="00E34FF2" w:rsidRDefault="00B2678F" w:rsidP="00E34FF2">
      <w:pPr>
        <w:pStyle w:val="Notedebasdepage"/>
      </w:pPr>
      <w:r>
        <w:rPr>
          <w:rStyle w:val="Appelnotedebasdep"/>
        </w:rPr>
        <w:footnoteRef/>
      </w:r>
      <w:r>
        <w:t xml:space="preserve"> </w:t>
      </w:r>
      <w:r>
        <w:tab/>
        <w:t>Pièces P-3 et D-5.</w:t>
      </w:r>
    </w:p>
  </w:footnote>
  <w:footnote w:id="42">
    <w:p w14:paraId="1FBFF196" w14:textId="77777777" w:rsidR="00E34FF2" w:rsidRDefault="00B2678F" w:rsidP="00E34FF2">
      <w:pPr>
        <w:pStyle w:val="Notedebasdepage"/>
      </w:pPr>
      <w:r>
        <w:rPr>
          <w:rStyle w:val="Appelnotedebasdep"/>
        </w:rPr>
        <w:footnoteRef/>
      </w:r>
      <w:r>
        <w:t xml:space="preserve"> </w:t>
      </w:r>
      <w:r>
        <w:tab/>
        <w:t>Pièce P-3, p.1</w:t>
      </w:r>
      <w:r w:rsidR="00520534">
        <w:t>;</w:t>
      </w:r>
      <w:r>
        <w:t xml:space="preserve"> </w:t>
      </w:r>
      <w:r w:rsidR="00520534">
        <w:t xml:space="preserve">pièce </w:t>
      </w:r>
      <w:r>
        <w:t>D-5, p. 52.</w:t>
      </w:r>
    </w:p>
  </w:footnote>
  <w:footnote w:id="43">
    <w:p w14:paraId="21A3BEB7" w14:textId="77777777" w:rsidR="00E34FF2" w:rsidRDefault="00B2678F" w:rsidP="00E34FF2">
      <w:pPr>
        <w:pStyle w:val="Notedebasdepage"/>
      </w:pPr>
      <w:r>
        <w:rPr>
          <w:rStyle w:val="Appelnotedebasdep"/>
        </w:rPr>
        <w:footnoteRef/>
      </w:r>
      <w:r>
        <w:t xml:space="preserve"> </w:t>
      </w:r>
      <w:r>
        <w:tab/>
        <w:t>Pièce D-5, p. 56 et 58.</w:t>
      </w:r>
    </w:p>
  </w:footnote>
  <w:footnote w:id="44">
    <w:p w14:paraId="21D8474D" w14:textId="77777777" w:rsidR="00E34FF2" w:rsidRDefault="00B2678F" w:rsidP="00E34FF2">
      <w:pPr>
        <w:pStyle w:val="Notedebasdepage"/>
      </w:pPr>
      <w:r>
        <w:rPr>
          <w:rStyle w:val="Appelnotedebasdep"/>
        </w:rPr>
        <w:footnoteRef/>
      </w:r>
      <w:r>
        <w:t xml:space="preserve"> </w:t>
      </w:r>
      <w:r>
        <w:tab/>
        <w:t>Pièce P-3, p. 3.</w:t>
      </w:r>
    </w:p>
  </w:footnote>
  <w:footnote w:id="45">
    <w:p w14:paraId="01342021" w14:textId="77777777" w:rsidR="00E34FF2" w:rsidRDefault="00B2678F" w:rsidP="00E34FF2">
      <w:pPr>
        <w:pStyle w:val="Notedebasdepage"/>
      </w:pPr>
      <w:r>
        <w:rPr>
          <w:rStyle w:val="Appelnotedebasdep"/>
        </w:rPr>
        <w:footnoteRef/>
      </w:r>
      <w:r>
        <w:t xml:space="preserve"> </w:t>
      </w:r>
      <w:r>
        <w:tab/>
        <w:t>Pièce P-3, p. 4</w:t>
      </w:r>
      <w:r w:rsidR="00520534">
        <w:t>;</w:t>
      </w:r>
      <w:r>
        <w:t xml:space="preserve"> </w:t>
      </w:r>
      <w:r w:rsidR="00520534">
        <w:t xml:space="preserve">pièce </w:t>
      </w:r>
      <w:r>
        <w:t>D-5, p. 67.</w:t>
      </w:r>
    </w:p>
  </w:footnote>
  <w:footnote w:id="46">
    <w:p w14:paraId="47C14C95" w14:textId="77777777" w:rsidR="00E34FF2" w:rsidRDefault="00B2678F" w:rsidP="00E34FF2">
      <w:pPr>
        <w:pStyle w:val="Notedebasdepage"/>
      </w:pPr>
      <w:r>
        <w:rPr>
          <w:rStyle w:val="Appelnotedebasdep"/>
        </w:rPr>
        <w:footnoteRef/>
      </w:r>
      <w:r>
        <w:t xml:space="preserve"> </w:t>
      </w:r>
      <w:r>
        <w:tab/>
        <w:t>Pièce D-5, p. 59.</w:t>
      </w:r>
    </w:p>
  </w:footnote>
  <w:footnote w:id="47">
    <w:p w14:paraId="5DA3CB9E" w14:textId="77777777" w:rsidR="00E34FF2" w:rsidRPr="004176F5" w:rsidRDefault="00B2678F" w:rsidP="00E34FF2">
      <w:pPr>
        <w:pStyle w:val="Notedebasdepage"/>
      </w:pPr>
      <w:r w:rsidRPr="009D28C0">
        <w:rPr>
          <w:rStyle w:val="Appelnotedebasdep"/>
        </w:rPr>
        <w:footnoteRef/>
      </w:r>
      <w:r w:rsidRPr="009D28C0">
        <w:t xml:space="preserve"> </w:t>
      </w:r>
      <w:r w:rsidRPr="009D28C0">
        <w:tab/>
        <w:t>Pièce D-3, p. 37.</w:t>
      </w:r>
    </w:p>
  </w:footnote>
  <w:footnote w:id="48">
    <w:p w14:paraId="6FC74962" w14:textId="77777777" w:rsidR="00E34FF2" w:rsidRDefault="00B2678F" w:rsidP="00E34FF2">
      <w:pPr>
        <w:pStyle w:val="Notedebasdepage"/>
      </w:pPr>
      <w:r>
        <w:rPr>
          <w:rStyle w:val="Appelnotedebasdep"/>
        </w:rPr>
        <w:footnoteRef/>
      </w:r>
      <w:r>
        <w:t xml:space="preserve"> </w:t>
      </w:r>
      <w:r>
        <w:tab/>
        <w:t>Pièce D-5, p. 54.</w:t>
      </w:r>
    </w:p>
  </w:footnote>
  <w:footnote w:id="49">
    <w:p w14:paraId="4B571E66" w14:textId="77777777" w:rsidR="00E34FF2" w:rsidRPr="004176F5" w:rsidRDefault="00B2678F" w:rsidP="00E34FF2">
      <w:pPr>
        <w:pStyle w:val="Notedebasdepage"/>
        <w:rPr>
          <w:highlight w:val="yellow"/>
        </w:rPr>
      </w:pPr>
      <w:r>
        <w:rPr>
          <w:rStyle w:val="Appelnotedebasdep"/>
        </w:rPr>
        <w:footnoteRef/>
      </w:r>
      <w:r>
        <w:t xml:space="preserve"> </w:t>
      </w:r>
      <w:r>
        <w:tab/>
        <w:t>Pièce D-3, p. 36</w:t>
      </w:r>
      <w:r w:rsidR="00520534">
        <w:t>;</w:t>
      </w:r>
      <w:r>
        <w:t xml:space="preserve"> </w:t>
      </w:r>
      <w:r w:rsidR="00520534">
        <w:t>p</w:t>
      </w:r>
      <w:r>
        <w:t>ièce D-5, p. 57.</w:t>
      </w:r>
    </w:p>
  </w:footnote>
  <w:footnote w:id="50">
    <w:p w14:paraId="68361B2D" w14:textId="77777777" w:rsidR="00E34FF2" w:rsidRDefault="00B2678F" w:rsidP="00E34FF2">
      <w:pPr>
        <w:pStyle w:val="Notedebasdepage"/>
      </w:pPr>
      <w:r>
        <w:rPr>
          <w:rStyle w:val="Appelnotedebasdep"/>
        </w:rPr>
        <w:footnoteRef/>
      </w:r>
      <w:r>
        <w:t xml:space="preserve"> </w:t>
      </w:r>
      <w:r>
        <w:tab/>
        <w:t>Pièce</w:t>
      </w:r>
      <w:r w:rsidR="00520534">
        <w:t>s</w:t>
      </w:r>
      <w:r>
        <w:t xml:space="preserve"> D-1 et D-2.</w:t>
      </w:r>
    </w:p>
  </w:footnote>
  <w:footnote w:id="51">
    <w:p w14:paraId="7EBD6B4E" w14:textId="77777777" w:rsidR="00E34FF2" w:rsidRDefault="00B2678F" w:rsidP="00E34FF2">
      <w:pPr>
        <w:pStyle w:val="Notedebasdepage"/>
      </w:pPr>
      <w:r>
        <w:rPr>
          <w:rStyle w:val="Appelnotedebasdep"/>
        </w:rPr>
        <w:footnoteRef/>
      </w:r>
      <w:r>
        <w:t xml:space="preserve"> </w:t>
      </w:r>
      <w:r>
        <w:tab/>
        <w:t>Pièces P-6 et P-8.</w:t>
      </w:r>
    </w:p>
  </w:footnote>
  <w:footnote w:id="52">
    <w:p w14:paraId="43CA86FF" w14:textId="77777777" w:rsidR="00E34FF2" w:rsidRPr="000F7570" w:rsidRDefault="00B2678F" w:rsidP="00E34FF2">
      <w:pPr>
        <w:pStyle w:val="Notedebasdepage"/>
      </w:pPr>
      <w:r>
        <w:rPr>
          <w:rStyle w:val="Appelnotedebasdep"/>
        </w:rPr>
        <w:footnoteRef/>
      </w:r>
      <w:r w:rsidRPr="000F7570">
        <w:t xml:space="preserve"> </w:t>
      </w:r>
      <w:r w:rsidRPr="000F7570">
        <w:tab/>
        <w:t>Art. 1621 C.c.Q.</w:t>
      </w:r>
    </w:p>
  </w:footnote>
  <w:footnote w:id="53">
    <w:p w14:paraId="4BA9C19F" w14:textId="77777777" w:rsidR="00E34FF2" w:rsidRDefault="00B2678F" w:rsidP="00E34FF2">
      <w:pPr>
        <w:pStyle w:val="Notedebasdepage"/>
      </w:pPr>
      <w:r>
        <w:rPr>
          <w:rStyle w:val="Appelnotedebasdep"/>
        </w:rPr>
        <w:footnoteRef/>
      </w:r>
      <w:r>
        <w:t xml:space="preserve"> </w:t>
      </w:r>
      <w:r>
        <w:tab/>
      </w:r>
      <w:r w:rsidRPr="00926540">
        <w:rPr>
          <w:i/>
          <w:iCs/>
        </w:rPr>
        <w:t>Charte des droits et libertés de la personne</w:t>
      </w:r>
      <w:r>
        <w:t xml:space="preserve">, </w:t>
      </w:r>
      <w:r w:rsidRPr="00926540">
        <w:t>RLRQ, c. C-12, art. 4 et 5.</w:t>
      </w:r>
    </w:p>
  </w:footnote>
  <w:footnote w:id="54">
    <w:p w14:paraId="4A75DA8F" w14:textId="77777777" w:rsidR="00E34FF2" w:rsidRDefault="00B2678F" w:rsidP="00E34FF2">
      <w:pPr>
        <w:pStyle w:val="Notedebasdepage"/>
      </w:pPr>
      <w:r>
        <w:rPr>
          <w:rStyle w:val="Appelnotedebasdep"/>
        </w:rPr>
        <w:footnoteRef/>
      </w:r>
      <w:r>
        <w:t xml:space="preserve"> </w:t>
      </w:r>
      <w:r>
        <w:tab/>
        <w:t>Charte, art. 49.</w:t>
      </w:r>
    </w:p>
  </w:footnote>
  <w:footnote w:id="55">
    <w:p w14:paraId="264E8C13" w14:textId="77777777" w:rsidR="00E34FF2" w:rsidRDefault="00B2678F" w:rsidP="00E34FF2">
      <w:pPr>
        <w:pStyle w:val="Notedebasdepage"/>
      </w:pPr>
      <w:r>
        <w:rPr>
          <w:rStyle w:val="Appelnotedebasdep"/>
        </w:rPr>
        <w:footnoteRef/>
      </w:r>
      <w:r>
        <w:t xml:space="preserve"> </w:t>
      </w:r>
      <w:r>
        <w:tab/>
      </w:r>
      <w:r>
        <w:rPr>
          <w:i/>
          <w:iCs/>
        </w:rPr>
        <w:t>Québec (Curateur public)</w:t>
      </w:r>
      <w:r>
        <w:rPr>
          <w:iCs/>
        </w:rPr>
        <w:t xml:space="preserve"> c. </w:t>
      </w:r>
      <w:r>
        <w:rPr>
          <w:i/>
          <w:iCs/>
        </w:rPr>
        <w:t>Syndicat national des employés de l'hôpital St-Ferdinand</w:t>
      </w:r>
      <w:r>
        <w:rPr>
          <w:iCs/>
        </w:rPr>
        <w:t>, [1996] 3 R.C.S. 211</w:t>
      </w:r>
      <w:r w:rsidRPr="004E6A85">
        <w:t xml:space="preserve">, </w:t>
      </w:r>
      <w:r>
        <w:t>par. 121.</w:t>
      </w:r>
    </w:p>
  </w:footnote>
  <w:footnote w:id="56">
    <w:p w14:paraId="2E606C80" w14:textId="77777777" w:rsidR="00E34FF2" w:rsidRDefault="00B2678F" w:rsidP="00E34FF2">
      <w:pPr>
        <w:pStyle w:val="Notedebasdepage"/>
      </w:pPr>
      <w:r>
        <w:rPr>
          <w:rStyle w:val="Appelnotedebasdep"/>
        </w:rPr>
        <w:footnoteRef/>
      </w:r>
      <w:r>
        <w:t xml:space="preserve"> </w:t>
      </w:r>
      <w:r>
        <w:tab/>
      </w:r>
      <w:r w:rsidRPr="00424EC0">
        <w:rPr>
          <w:i/>
          <w:iCs/>
        </w:rPr>
        <w:t xml:space="preserve">Karras </w:t>
      </w:r>
      <w:r w:rsidRPr="007A4613">
        <w:t>c.</w:t>
      </w:r>
      <w:r w:rsidRPr="00424EC0">
        <w:rPr>
          <w:i/>
          <w:iCs/>
        </w:rPr>
        <w:t xml:space="preserve"> Société des loteries du Québec</w:t>
      </w:r>
      <w:r w:rsidRPr="00424EC0">
        <w:t xml:space="preserve">, préc., note </w:t>
      </w:r>
      <w:r>
        <w:t>21</w:t>
      </w:r>
      <w:r w:rsidRPr="00424EC0">
        <w:rPr>
          <w:b/>
        </w:rPr>
        <w:t>Error! Bookmark not defined.</w:t>
      </w:r>
      <w:r w:rsidRPr="00424EC0">
        <w:t xml:space="preserve">, par. 48; </w:t>
      </w:r>
      <w:r>
        <w:rPr>
          <w:i/>
        </w:rPr>
        <w:t>Perreault</w:t>
      </w:r>
      <w:r>
        <w:t xml:space="preserve"> c. </w:t>
      </w:r>
      <w:r>
        <w:rPr>
          <w:i/>
        </w:rPr>
        <w:t>McNeil PDI inc.</w:t>
      </w:r>
      <w:r>
        <w:t>, 2012 QCCA 713</w:t>
      </w:r>
      <w:r w:rsidRPr="00424EC0">
        <w:t>, par. 75 à 77 (</w:t>
      </w:r>
      <w:r>
        <w:t>demande</w:t>
      </w:r>
      <w:r w:rsidRPr="00424EC0">
        <w:t xml:space="preserve"> pour autorisation de pourvoi à la Cour suprême rejetée (C.S. Can., 2012-10-25) 34877); </w:t>
      </w:r>
      <w:r w:rsidRPr="00424EC0">
        <w:rPr>
          <w:i/>
          <w:iCs/>
        </w:rPr>
        <w:t xml:space="preserve">Paquette </w:t>
      </w:r>
      <w:r w:rsidRPr="007A4613">
        <w:t>c.</w:t>
      </w:r>
      <w:r w:rsidRPr="00424EC0">
        <w:rPr>
          <w:i/>
          <w:iCs/>
        </w:rPr>
        <w:t xml:space="preserve"> Samsung Electronics Canada inc.</w:t>
      </w:r>
      <w:r w:rsidRPr="00424EC0">
        <w:t xml:space="preserve">, 2020 QCCS 1160, par. 43 à 45; </w:t>
      </w:r>
      <w:r w:rsidRPr="00FB37B8">
        <w:rPr>
          <w:i/>
          <w:iCs/>
        </w:rPr>
        <w:t xml:space="preserve">Li </w:t>
      </w:r>
      <w:r w:rsidRPr="00FB37B8">
        <w:t>c.</w:t>
      </w:r>
      <w:r w:rsidRPr="00FB37B8">
        <w:rPr>
          <w:i/>
          <w:iCs/>
        </w:rPr>
        <w:t xml:space="preserve"> Equifax inc</w:t>
      </w:r>
      <w:r w:rsidRPr="00424EC0">
        <w:rPr>
          <w:i/>
          <w:iCs/>
        </w:rPr>
        <w:t>.</w:t>
      </w:r>
      <w:r w:rsidRPr="00424EC0">
        <w:t xml:space="preserve">, </w:t>
      </w:r>
      <w:r w:rsidR="00FB37B8" w:rsidRPr="007B5E1F">
        <w:t>2019 QCCS 4340</w:t>
      </w:r>
      <w:r w:rsidRPr="00424EC0">
        <w:t xml:space="preserve">, par. 39 à 41; </w:t>
      </w:r>
      <w:r w:rsidRPr="0045124E">
        <w:rPr>
          <w:i/>
          <w:iCs/>
        </w:rPr>
        <w:t xml:space="preserve">Prince </w:t>
      </w:r>
      <w:r w:rsidRPr="007A4613">
        <w:t>c.</w:t>
      </w:r>
      <w:r w:rsidRPr="0045124E">
        <w:rPr>
          <w:i/>
          <w:iCs/>
        </w:rPr>
        <w:t xml:space="preserve"> Avis Budget Group inc.</w:t>
      </w:r>
      <w:r w:rsidRPr="00424EC0">
        <w:t>, 2016 QCCS 3770, par. 118 à 122</w:t>
      </w:r>
      <w:r>
        <w:t>;</w:t>
      </w:r>
      <w:r w:rsidRPr="00383B8C">
        <w:t xml:space="preserve"> </w:t>
      </w:r>
      <w:r w:rsidR="00FB37B8">
        <w:rPr>
          <w:i/>
          <w:iCs/>
        </w:rPr>
        <w:t>Mazzonna</w:t>
      </w:r>
      <w:r w:rsidR="00FB37B8">
        <w:rPr>
          <w:iCs/>
        </w:rPr>
        <w:t xml:space="preserve"> c. </w:t>
      </w:r>
      <w:r w:rsidR="00FB37B8">
        <w:rPr>
          <w:i/>
          <w:iCs/>
        </w:rPr>
        <w:t>DaimlerChrysler Financial Services Canada Inc./Services financiers DaimlerChrysler inc.</w:t>
      </w:r>
      <w:r w:rsidR="00FB37B8">
        <w:rPr>
          <w:iCs/>
        </w:rPr>
        <w:t>, 2012 QCCS 958</w:t>
      </w:r>
      <w:r>
        <w:t>, par. 70</w:t>
      </w:r>
      <w:r w:rsidRPr="00424EC0">
        <w:t>.</w:t>
      </w:r>
    </w:p>
  </w:footnote>
  <w:footnote w:id="57">
    <w:p w14:paraId="442F3BCC" w14:textId="77777777" w:rsidR="00E34FF2" w:rsidRDefault="00B2678F" w:rsidP="00E34FF2">
      <w:pPr>
        <w:pStyle w:val="Notedebasdepage"/>
      </w:pPr>
      <w:r>
        <w:rPr>
          <w:rStyle w:val="Appelnotedebasdep"/>
        </w:rPr>
        <w:footnoteRef/>
      </w:r>
      <w:r>
        <w:t xml:space="preserve"> </w:t>
      </w:r>
      <w:r>
        <w:tab/>
      </w:r>
      <w:r w:rsidRPr="003F7A31">
        <w:rPr>
          <w:i/>
          <w:iCs/>
        </w:rPr>
        <w:t xml:space="preserve">Charbonneau </w:t>
      </w:r>
      <w:r w:rsidRPr="007A4613">
        <w:t>c.</w:t>
      </w:r>
      <w:r w:rsidRPr="003F7A31">
        <w:rPr>
          <w:i/>
          <w:iCs/>
        </w:rPr>
        <w:t xml:space="preserve"> Location Claireview</w:t>
      </w:r>
      <w:r w:rsidRPr="003F7A31">
        <w:t>, 2022 QCCA 659, par. 24</w:t>
      </w:r>
      <w:r>
        <w:t xml:space="preserve"> (d</w:t>
      </w:r>
      <w:r w:rsidRPr="00270972">
        <w:t>emande en rejet partiel d'une action collective accueillie</w:t>
      </w:r>
      <w:r>
        <w:t>,</w:t>
      </w:r>
      <w:r w:rsidRPr="00270972">
        <w:t xml:space="preserve"> 2024 QCCS 2370</w:t>
      </w:r>
      <w:r>
        <w:t xml:space="preserve">); </w:t>
      </w:r>
      <w:r w:rsidRPr="00A21AC1">
        <w:rPr>
          <w:i/>
          <w:iCs/>
        </w:rPr>
        <w:t xml:space="preserve">Levy </w:t>
      </w:r>
      <w:r w:rsidRPr="007A4613">
        <w:t>c.</w:t>
      </w:r>
      <w:r w:rsidRPr="00A21AC1">
        <w:rPr>
          <w:i/>
          <w:iCs/>
        </w:rPr>
        <w:t xml:space="preserve"> Nissan Canada inc.</w:t>
      </w:r>
      <w:r w:rsidRPr="004E6A85">
        <w:t xml:space="preserve">, </w:t>
      </w:r>
      <w:r>
        <w:t>préc., note</w:t>
      </w:r>
      <w:r w:rsidR="00FB37B8">
        <w:t xml:space="preserve"> </w:t>
      </w:r>
      <w:r>
        <w:t>12, par. 37;</w:t>
      </w:r>
      <w:r w:rsidRPr="00A21AC1">
        <w:t xml:space="preserve"> </w:t>
      </w:r>
      <w:r w:rsidRPr="003F7A31">
        <w:rPr>
          <w:i/>
          <w:iCs/>
        </w:rPr>
        <w:t xml:space="preserve">Union des consommateurs </w:t>
      </w:r>
      <w:r w:rsidRPr="007A4613">
        <w:t>c.</w:t>
      </w:r>
      <w:r w:rsidRPr="003F7A31">
        <w:rPr>
          <w:i/>
          <w:iCs/>
        </w:rPr>
        <w:t xml:space="preserve"> Bell Mobilité </w:t>
      </w:r>
      <w:r w:rsidR="00C76F8B">
        <w:rPr>
          <w:i/>
          <w:iCs/>
        </w:rPr>
        <w:t>i</w:t>
      </w:r>
      <w:r w:rsidRPr="003F7A31">
        <w:rPr>
          <w:i/>
          <w:iCs/>
        </w:rPr>
        <w:t>nc.</w:t>
      </w:r>
      <w:r>
        <w:t xml:space="preserve">, </w:t>
      </w:r>
      <w:r w:rsidRPr="003F7A31">
        <w:t>2017 QCCA 504, par. 42</w:t>
      </w:r>
      <w:r>
        <w:t xml:space="preserve">; </w:t>
      </w:r>
      <w:r w:rsidR="001F221C">
        <w:rPr>
          <w:i/>
          <w:iCs/>
        </w:rPr>
        <w:t>Zuckerman</w:t>
      </w:r>
      <w:r w:rsidR="001F221C">
        <w:rPr>
          <w:iCs/>
        </w:rPr>
        <w:t xml:space="preserve"> c. </w:t>
      </w:r>
      <w:r w:rsidR="001F221C">
        <w:rPr>
          <w:i/>
          <w:iCs/>
        </w:rPr>
        <w:t>Target Corporation</w:t>
      </w:r>
      <w:r w:rsidR="001F221C">
        <w:rPr>
          <w:iCs/>
        </w:rPr>
        <w:t>, 2017 QCCS 110</w:t>
      </w:r>
      <w:r>
        <w:t xml:space="preserve">, </w:t>
      </w:r>
      <w:r w:rsidRPr="00A21AC1">
        <w:t>par. 73</w:t>
      </w:r>
      <w:r w:rsidR="001F221C">
        <w:t xml:space="preserve"> (j</w:t>
      </w:r>
      <w:r w:rsidR="001F221C" w:rsidRPr="001F221C">
        <w:t>ugement de clôture, 2018 QCCS 5497</w:t>
      </w:r>
      <w:r w:rsidR="001F221C">
        <w:t>)</w:t>
      </w:r>
      <w:r>
        <w:t xml:space="preserve">; </w:t>
      </w:r>
      <w:r w:rsidRPr="00591EC4">
        <w:rPr>
          <w:i/>
          <w:iCs/>
        </w:rPr>
        <w:t xml:space="preserve">Belley </w:t>
      </w:r>
      <w:r w:rsidRPr="007A4613">
        <w:t>c.</w:t>
      </w:r>
      <w:r w:rsidRPr="00591EC4">
        <w:rPr>
          <w:i/>
          <w:iCs/>
        </w:rPr>
        <w:t xml:space="preserve"> TD Auto Finance Services Inc./Services de financement auto TD inc.</w:t>
      </w:r>
      <w:r w:rsidRPr="00A21AC1">
        <w:t xml:space="preserve">, 2015 QCCS 168, par. </w:t>
      </w:r>
      <w:r>
        <w:t>68 et 69</w:t>
      </w:r>
      <w:r w:rsidR="00311B62">
        <w:t xml:space="preserve"> (demande</w:t>
      </w:r>
      <w:r w:rsidR="00311B62" w:rsidRPr="00311B62">
        <w:t xml:space="preserve"> pour permission d'appeler rejetée, 2015 QCCA 1255</w:t>
      </w:r>
      <w:r w:rsidR="00311B62">
        <w:t>)</w:t>
      </w:r>
      <w:r>
        <w:t>.</w:t>
      </w:r>
    </w:p>
  </w:footnote>
  <w:footnote w:id="58">
    <w:p w14:paraId="6315DE05" w14:textId="77777777" w:rsidR="00E34FF2" w:rsidRDefault="00B2678F" w:rsidP="00E34FF2">
      <w:pPr>
        <w:pStyle w:val="Notedebasdepage"/>
      </w:pPr>
      <w:r>
        <w:rPr>
          <w:rStyle w:val="Appelnotedebasdep"/>
        </w:rPr>
        <w:footnoteRef/>
      </w:r>
      <w:r>
        <w:t xml:space="preserve"> </w:t>
      </w:r>
      <w:r>
        <w:tab/>
      </w:r>
      <w:r w:rsidR="00BD1ADE" w:rsidRPr="005E2A8B">
        <w:rPr>
          <w:i/>
          <w:iCs/>
        </w:rPr>
        <w:t>Royer c. Capital One Bank (Canada Branch)</w:t>
      </w:r>
      <w:r w:rsidR="00BD1ADE" w:rsidRPr="00BD1ADE">
        <w:t>, 2025 QCCA 217</w:t>
      </w:r>
      <w:r w:rsidR="00BD1ADE">
        <w:t xml:space="preserve">, par. 47 et 48; </w:t>
      </w:r>
      <w:r w:rsidRPr="00A21AC1">
        <w:rPr>
          <w:i/>
          <w:iCs/>
        </w:rPr>
        <w:t xml:space="preserve">Levy </w:t>
      </w:r>
      <w:r w:rsidRPr="007A4613">
        <w:t>c.</w:t>
      </w:r>
      <w:r w:rsidRPr="00A21AC1">
        <w:rPr>
          <w:i/>
          <w:iCs/>
        </w:rPr>
        <w:t xml:space="preserve"> Nissan Canada inc.</w:t>
      </w:r>
      <w:r w:rsidRPr="004E6A85">
        <w:t xml:space="preserve">, </w:t>
      </w:r>
      <w:r w:rsidR="00FB37B8">
        <w:t xml:space="preserve">préc., note </w:t>
      </w:r>
      <w:r>
        <w:t xml:space="preserve">12, par. 34; </w:t>
      </w:r>
      <w:r w:rsidRPr="001008DB">
        <w:rPr>
          <w:i/>
          <w:iCs/>
        </w:rPr>
        <w:t xml:space="preserve">Option Consommateurs </w:t>
      </w:r>
      <w:r w:rsidRPr="007A4613">
        <w:t>c.</w:t>
      </w:r>
      <w:r w:rsidRPr="001008DB">
        <w:rPr>
          <w:i/>
          <w:iCs/>
        </w:rPr>
        <w:t xml:space="preserve"> Home Depot of Canada </w:t>
      </w:r>
      <w:r w:rsidR="00C76F8B">
        <w:rPr>
          <w:i/>
          <w:iCs/>
        </w:rPr>
        <w:t>i</w:t>
      </w:r>
      <w:r w:rsidRPr="001008DB">
        <w:rPr>
          <w:i/>
          <w:iCs/>
        </w:rPr>
        <w:t>nc.</w:t>
      </w:r>
      <w:r w:rsidRPr="001008DB">
        <w:t>, 2024 QCCS 1305</w:t>
      </w:r>
      <w:r>
        <w:t xml:space="preserve"> (</w:t>
      </w:r>
      <w:r w:rsidRPr="003706B2">
        <w:t>déclaration d’appel déposée le 22 mai 2024</w:t>
      </w:r>
      <w:r>
        <w:t>), par. 59 et 60;</w:t>
      </w:r>
      <w:r w:rsidRPr="001539CF">
        <w:rPr>
          <w:i/>
          <w:iCs/>
        </w:rPr>
        <w:t xml:space="preserve"> </w:t>
      </w:r>
      <w:r w:rsidR="00F96E25">
        <w:rPr>
          <w:i/>
          <w:iCs/>
        </w:rPr>
        <w:t>Option Consommateurs</w:t>
      </w:r>
      <w:r w:rsidR="00F96E25">
        <w:rPr>
          <w:iCs/>
        </w:rPr>
        <w:t xml:space="preserve"> c. </w:t>
      </w:r>
      <w:r w:rsidR="00F96E25">
        <w:rPr>
          <w:i/>
          <w:iCs/>
        </w:rPr>
        <w:t xml:space="preserve">Flo Health </w:t>
      </w:r>
      <w:r w:rsidR="00C76F8B">
        <w:rPr>
          <w:i/>
          <w:iCs/>
        </w:rPr>
        <w:t>i</w:t>
      </w:r>
      <w:r w:rsidR="00F96E25">
        <w:rPr>
          <w:i/>
          <w:iCs/>
        </w:rPr>
        <w:t>nc.</w:t>
      </w:r>
      <w:r w:rsidR="00F96E25">
        <w:rPr>
          <w:iCs/>
        </w:rPr>
        <w:t>, 2022 QCCS 4442</w:t>
      </w:r>
      <w:r>
        <w:t>, par. 94 à 97.</w:t>
      </w:r>
    </w:p>
  </w:footnote>
  <w:footnote w:id="59">
    <w:p w14:paraId="58F348A5" w14:textId="77777777" w:rsidR="00E34FF2" w:rsidRDefault="00B2678F" w:rsidP="00E34FF2">
      <w:pPr>
        <w:pStyle w:val="Notedebasdepage"/>
      </w:pPr>
      <w:r>
        <w:rPr>
          <w:rStyle w:val="Appelnotedebasdep"/>
        </w:rPr>
        <w:footnoteRef/>
      </w:r>
      <w:r>
        <w:t xml:space="preserve"> </w:t>
      </w:r>
      <w:r>
        <w:tab/>
        <w:t>Pièce P-2.</w:t>
      </w:r>
    </w:p>
  </w:footnote>
  <w:footnote w:id="60">
    <w:p w14:paraId="0836D230" w14:textId="77777777" w:rsidR="00E34FF2" w:rsidRDefault="00B2678F" w:rsidP="00E34FF2">
      <w:pPr>
        <w:pStyle w:val="Notedebasdepage"/>
      </w:pPr>
      <w:r>
        <w:rPr>
          <w:rStyle w:val="Appelnotedebasdep"/>
        </w:rPr>
        <w:footnoteRef/>
      </w:r>
      <w:r>
        <w:t xml:space="preserve"> </w:t>
      </w:r>
      <w:r>
        <w:tab/>
        <w:t>Paragraphes 9, 10 et 27 de la demande d’autorisation</w:t>
      </w:r>
      <w:r w:rsidR="00F96E25">
        <w:t>;</w:t>
      </w:r>
      <w:r>
        <w:t xml:space="preserve"> </w:t>
      </w:r>
      <w:r w:rsidR="00F96E25">
        <w:t>p</w:t>
      </w:r>
      <w:r>
        <w:t>ièce P-6</w:t>
      </w:r>
      <w:r w:rsidR="00F96E25">
        <w:t>; pièce</w:t>
      </w:r>
      <w:r>
        <w:t xml:space="preserve"> P-8.</w:t>
      </w:r>
    </w:p>
  </w:footnote>
  <w:footnote w:id="61">
    <w:p w14:paraId="3A2A32A9" w14:textId="77777777" w:rsidR="00E34FF2" w:rsidRPr="005E2A8B" w:rsidRDefault="00B2678F" w:rsidP="00E34FF2">
      <w:pPr>
        <w:pStyle w:val="Notedebasdepage"/>
      </w:pPr>
      <w:r>
        <w:rPr>
          <w:rStyle w:val="Appelnotedebasdep"/>
        </w:rPr>
        <w:footnoteRef/>
      </w:r>
      <w:r w:rsidRPr="005E2A8B">
        <w:t xml:space="preserve"> </w:t>
      </w:r>
      <w:r w:rsidRPr="005E2A8B">
        <w:tab/>
      </w:r>
      <w:r w:rsidRPr="005E2A8B">
        <w:rPr>
          <w:i/>
        </w:rPr>
        <w:t xml:space="preserve">Abicidan </w:t>
      </w:r>
      <w:r w:rsidRPr="005E2A8B">
        <w:t xml:space="preserve">c. </w:t>
      </w:r>
      <w:r w:rsidRPr="005E2A8B">
        <w:rPr>
          <w:i/>
        </w:rPr>
        <w:t>Bell Canada</w:t>
      </w:r>
      <w:r w:rsidRPr="005E2A8B">
        <w:t>, 2017 QCCS 1198, par. 82</w:t>
      </w:r>
      <w:r w:rsidR="008C199C" w:rsidRPr="005E2A8B">
        <w:t xml:space="preserve"> (</w:t>
      </w:r>
      <w:r w:rsidR="008C199C">
        <w:t>d</w:t>
      </w:r>
      <w:r w:rsidR="008C199C" w:rsidRPr="008C199C">
        <w:t>emande d'approbation d'une entente de règlement accueillie</w:t>
      </w:r>
      <w:r w:rsidR="008C199C">
        <w:t xml:space="preserve">, </w:t>
      </w:r>
      <w:r w:rsidR="008C199C" w:rsidRPr="008C199C">
        <w:t>2021 QCCS 4946</w:t>
      </w:r>
      <w:r w:rsidR="008C199C">
        <w:t>)</w:t>
      </w:r>
      <w:r w:rsidRPr="005E2A8B">
        <w:t>.</w:t>
      </w:r>
    </w:p>
  </w:footnote>
  <w:footnote w:id="62">
    <w:p w14:paraId="7FE65236" w14:textId="77777777" w:rsidR="00E34FF2" w:rsidRPr="00A22B24" w:rsidRDefault="00B2678F" w:rsidP="00E34FF2">
      <w:pPr>
        <w:pStyle w:val="Notedebasdepage"/>
      </w:pPr>
      <w:r>
        <w:rPr>
          <w:rStyle w:val="Appelnotedebasdep"/>
        </w:rPr>
        <w:footnoteRef/>
      </w:r>
      <w:r w:rsidRPr="00A22B24">
        <w:t xml:space="preserve"> </w:t>
      </w:r>
      <w:r w:rsidRPr="00A22B24">
        <w:tab/>
      </w:r>
      <w:r w:rsidRPr="00A22B24">
        <w:rPr>
          <w:i/>
        </w:rPr>
        <w:t xml:space="preserve">Vivendi Canada inc. </w:t>
      </w:r>
      <w:r w:rsidRPr="00A22B24">
        <w:t xml:space="preserve">c. </w:t>
      </w:r>
      <w:r w:rsidRPr="00A22B24">
        <w:rPr>
          <w:i/>
        </w:rPr>
        <w:t>Dell’Aniello</w:t>
      </w:r>
      <w:r w:rsidRPr="00A22B24">
        <w:t>, préc., note</w:t>
      </w:r>
      <w:r w:rsidRPr="004D0C08">
        <w:t xml:space="preserve"> </w:t>
      </w:r>
      <w:r>
        <w:t>10</w:t>
      </w:r>
      <w:r w:rsidRPr="00A22B24">
        <w:t xml:space="preserve">, par. 67; </w:t>
      </w:r>
      <w:r w:rsidRPr="00A22B24">
        <w:rPr>
          <w:i/>
        </w:rPr>
        <w:t>Bramante</w:t>
      </w:r>
      <w:r w:rsidRPr="00A22B24">
        <w:t xml:space="preserve"> c. </w:t>
      </w:r>
      <w:r w:rsidRPr="00A22B24">
        <w:rPr>
          <w:i/>
        </w:rPr>
        <w:t>Restaurants McDonald's du Canada limitée</w:t>
      </w:r>
      <w:r w:rsidRPr="00A22B24">
        <w:t>, 2018 QCCS 4852, par. 55 (demande d'approbation d'une entente de règlement accordée en partie, 2021 QCCS 955).</w:t>
      </w:r>
    </w:p>
  </w:footnote>
  <w:footnote w:id="63">
    <w:p w14:paraId="41ECD322" w14:textId="77777777" w:rsidR="00E34FF2" w:rsidRPr="00A22B24" w:rsidRDefault="00B2678F" w:rsidP="00E34FF2">
      <w:pPr>
        <w:pStyle w:val="Notedebasdepage"/>
      </w:pPr>
      <w:r>
        <w:rPr>
          <w:rStyle w:val="Appelnotedebasdep"/>
        </w:rPr>
        <w:footnoteRef/>
      </w:r>
      <w:r w:rsidRPr="00A22B24">
        <w:t xml:space="preserve"> </w:t>
      </w:r>
      <w:r w:rsidRPr="00A22B24">
        <w:tab/>
      </w:r>
      <w:r w:rsidRPr="00A22B24">
        <w:rPr>
          <w:i/>
        </w:rPr>
        <w:t xml:space="preserve">D’Amico </w:t>
      </w:r>
      <w:r w:rsidRPr="00A22B24">
        <w:t xml:space="preserve">c. </w:t>
      </w:r>
      <w:r w:rsidRPr="00A22B24">
        <w:rPr>
          <w:i/>
        </w:rPr>
        <w:t>Procureure générale du Québec</w:t>
      </w:r>
      <w:r w:rsidRPr="00A22B24">
        <w:t>, 2019 QCCA 1922, par. 56 (</w:t>
      </w:r>
      <w:r w:rsidR="008726E9">
        <w:t>demande</w:t>
      </w:r>
      <w:r w:rsidR="008726E9" w:rsidRPr="00A22B24">
        <w:t xml:space="preserve"> </w:t>
      </w:r>
      <w:r w:rsidRPr="00A22B24">
        <w:t>en autorisation d'appel à la Cour suprême rejetée (Can C.S., 2020-05-14) 39013).</w:t>
      </w:r>
    </w:p>
  </w:footnote>
  <w:footnote w:id="64">
    <w:p w14:paraId="356CA062" w14:textId="77777777" w:rsidR="00E34FF2" w:rsidRPr="00421A76" w:rsidRDefault="00B2678F" w:rsidP="00E34FF2">
      <w:pPr>
        <w:pStyle w:val="Notedebasdepage"/>
      </w:pPr>
      <w:r>
        <w:rPr>
          <w:rStyle w:val="Appelnotedebasdep"/>
        </w:rPr>
        <w:footnoteRef/>
      </w:r>
      <w:r w:rsidRPr="00046979">
        <w:t xml:space="preserve"> </w:t>
      </w:r>
      <w:r w:rsidRPr="00046979">
        <w:tab/>
      </w:r>
      <w:r w:rsidRPr="00046979">
        <w:rPr>
          <w:i/>
        </w:rPr>
        <w:t xml:space="preserve">Abicidan </w:t>
      </w:r>
      <w:r w:rsidRPr="00046979">
        <w:t xml:space="preserve">c. </w:t>
      </w:r>
      <w:r w:rsidRPr="00046979">
        <w:rPr>
          <w:i/>
        </w:rPr>
        <w:t>Bell Canada</w:t>
      </w:r>
      <w:r w:rsidRPr="00046979">
        <w:t xml:space="preserve">, </w:t>
      </w:r>
      <w:r>
        <w:t>préc.</w:t>
      </w:r>
      <w:r w:rsidRPr="00046979">
        <w:t xml:space="preserve">, note </w:t>
      </w:r>
      <w:r>
        <w:t>61</w:t>
      </w:r>
      <w:r w:rsidRPr="00046979">
        <w:t xml:space="preserve">, par. </w:t>
      </w:r>
      <w:r w:rsidRPr="00421A76">
        <w:t>83.</w:t>
      </w:r>
    </w:p>
  </w:footnote>
  <w:footnote w:id="65">
    <w:p w14:paraId="2351B20F" w14:textId="77777777" w:rsidR="00E34FF2" w:rsidRPr="00BC2AF8" w:rsidRDefault="00B2678F" w:rsidP="00E34FF2">
      <w:pPr>
        <w:pStyle w:val="Notedebasdepage"/>
      </w:pPr>
      <w:r>
        <w:rPr>
          <w:rStyle w:val="Appelnotedebasdep"/>
        </w:rPr>
        <w:footnoteRef/>
      </w:r>
      <w:r w:rsidRPr="00BC2AF8">
        <w:t xml:space="preserve"> </w:t>
      </w:r>
      <w:r>
        <w:tab/>
      </w:r>
      <w:r w:rsidRPr="00932194">
        <w:rPr>
          <w:i/>
        </w:rPr>
        <w:t xml:space="preserve">Martel </w:t>
      </w:r>
      <w:r w:rsidRPr="005E2A8B">
        <w:rPr>
          <w:iCs/>
        </w:rPr>
        <w:t>c.</w:t>
      </w:r>
      <w:r w:rsidRPr="00932194">
        <w:rPr>
          <w:i/>
        </w:rPr>
        <w:t xml:space="preserve"> Kia Canada inc.</w:t>
      </w:r>
      <w:r w:rsidRPr="00932194">
        <w:t>, 2015 QCCA 1033, par. 29</w:t>
      </w:r>
      <w:r w:rsidR="008726E9">
        <w:t xml:space="preserve"> </w:t>
      </w:r>
      <w:r w:rsidR="00E6509E">
        <w:t>(a</w:t>
      </w:r>
      <w:r w:rsidR="00E6509E" w:rsidRPr="004D0C08">
        <w:t>ction collective rejetée, 2020 QCCS 328</w:t>
      </w:r>
      <w:r w:rsidR="00E6509E">
        <w:t xml:space="preserve"> et d</w:t>
      </w:r>
      <w:r w:rsidR="00E6509E" w:rsidRPr="004D0C08">
        <w:t>éclaration d'appel, 2020-03-06 (C.A.) 500-09-028883-205</w:t>
      </w:r>
      <w:r w:rsidR="00E6509E">
        <w:t>)</w:t>
      </w:r>
      <w:r w:rsidRPr="00932194">
        <w:t>;</w:t>
      </w:r>
      <w:r>
        <w:t xml:space="preserve"> </w:t>
      </w:r>
      <w:r w:rsidRPr="00932194">
        <w:rPr>
          <w:i/>
        </w:rPr>
        <w:t xml:space="preserve">Lévesque </w:t>
      </w:r>
      <w:r w:rsidRPr="005E2A8B">
        <w:rPr>
          <w:iCs/>
        </w:rPr>
        <w:t>c.</w:t>
      </w:r>
      <w:r w:rsidRPr="00932194">
        <w:rPr>
          <w:i/>
        </w:rPr>
        <w:t xml:space="preserve"> Vidéotron, s.e.n.c.</w:t>
      </w:r>
      <w:r w:rsidRPr="00932194">
        <w:t>, 2015 QCCA 205</w:t>
      </w:r>
      <w:r>
        <w:t>, par. 27</w:t>
      </w:r>
      <w:r w:rsidR="008726E9">
        <w:t xml:space="preserve"> (demande</w:t>
      </w:r>
      <w:r w:rsidR="008726E9" w:rsidRPr="008726E9">
        <w:t xml:space="preserve"> en rejet d'appel accueillie et appel rejeté, 2025 QCCA 878</w:t>
      </w:r>
      <w:r w:rsidR="008726E9">
        <w:t>)</w:t>
      </w:r>
      <w:r>
        <w:t xml:space="preserve">; </w:t>
      </w:r>
      <w:r w:rsidRPr="00421A76">
        <w:rPr>
          <w:i/>
        </w:rPr>
        <w:t xml:space="preserve">Valade </w:t>
      </w:r>
      <w:r w:rsidRPr="00F9722A">
        <w:t xml:space="preserve">c. </w:t>
      </w:r>
      <w:r w:rsidRPr="00421A76">
        <w:rPr>
          <w:i/>
        </w:rPr>
        <w:t>Ville de Montréal</w:t>
      </w:r>
      <w:r w:rsidRPr="00421A76">
        <w:t>, 2017 QCCS 4299</w:t>
      </w:r>
      <w:r>
        <w:t>, par. 26</w:t>
      </w:r>
      <w:r w:rsidR="008726E9">
        <w:t xml:space="preserve"> (j</w:t>
      </w:r>
      <w:r w:rsidR="008726E9" w:rsidRPr="008726E9">
        <w:t>ugement de clôture, 2024 QCCS 2085</w:t>
      </w:r>
      <w:r w:rsidR="008726E9">
        <w:t>)</w:t>
      </w:r>
      <w:r>
        <w:t>.</w:t>
      </w:r>
    </w:p>
  </w:footnote>
  <w:footnote w:id="66">
    <w:p w14:paraId="1028B6DA" w14:textId="77777777" w:rsidR="00E34FF2" w:rsidRDefault="00B2678F" w:rsidP="00E34FF2">
      <w:pPr>
        <w:pStyle w:val="Notedebasdepage"/>
      </w:pPr>
      <w:r>
        <w:rPr>
          <w:rStyle w:val="Appelnotedebasdep"/>
        </w:rPr>
        <w:footnoteRef/>
      </w:r>
      <w:r>
        <w:t xml:space="preserve"> </w:t>
      </w:r>
      <w:r>
        <w:tab/>
        <w:t>Pièce P-1, p. 16</w:t>
      </w:r>
      <w:r w:rsidR="008726E9">
        <w:t xml:space="preserve"> et</w:t>
      </w:r>
      <w:r>
        <w:t xml:space="preserve"> 17</w:t>
      </w:r>
      <w:r w:rsidR="008726E9">
        <w:t xml:space="preserve"> et</w:t>
      </w:r>
      <w:r>
        <w:t xml:space="preserve"> annexes 13 et 18</w:t>
      </w:r>
      <w:r w:rsidR="008726E9">
        <w:t>;</w:t>
      </w:r>
      <w:r>
        <w:t xml:space="preserve"> </w:t>
      </w:r>
      <w:r w:rsidR="008726E9">
        <w:t>p</w:t>
      </w:r>
      <w:r>
        <w:t>ièce P-4.</w:t>
      </w:r>
    </w:p>
  </w:footnote>
  <w:footnote w:id="67">
    <w:p w14:paraId="04FB9507" w14:textId="77777777" w:rsidR="00E34FF2" w:rsidRPr="00FD402C" w:rsidRDefault="00B2678F" w:rsidP="00E34FF2">
      <w:pPr>
        <w:pStyle w:val="Notedebasdepage"/>
      </w:pPr>
      <w:r>
        <w:rPr>
          <w:rStyle w:val="Appelnotedebasdep"/>
        </w:rPr>
        <w:footnoteRef/>
      </w:r>
      <w:r w:rsidRPr="00FD402C">
        <w:t xml:space="preserve"> </w:t>
      </w:r>
      <w:r w:rsidRPr="00FD402C">
        <w:tab/>
      </w:r>
      <w:r w:rsidRPr="00ED4757">
        <w:rPr>
          <w:i/>
        </w:rPr>
        <w:t>L’Oratoire Saint</w:t>
      </w:r>
      <w:r w:rsidRPr="00ED4757">
        <w:rPr>
          <w:rFonts w:ascii="Cambria Math" w:hAnsi="Cambria Math" w:cs="Cambria Math"/>
          <w:i/>
        </w:rPr>
        <w:t>‑</w:t>
      </w:r>
      <w:r w:rsidRPr="00ED4757">
        <w:rPr>
          <w:i/>
        </w:rPr>
        <w:t>Joseph du Mont</w:t>
      </w:r>
      <w:r w:rsidRPr="00ED4757">
        <w:rPr>
          <w:rFonts w:ascii="Cambria Math" w:hAnsi="Cambria Math" w:cs="Cambria Math"/>
          <w:i/>
        </w:rPr>
        <w:t>‑</w:t>
      </w:r>
      <w:r w:rsidRPr="00ED4757">
        <w:rPr>
          <w:i/>
        </w:rPr>
        <w:t xml:space="preserve">Royal </w:t>
      </w:r>
      <w:r>
        <w:t>c</w:t>
      </w:r>
      <w:r w:rsidRPr="009548BF">
        <w:t>.</w:t>
      </w:r>
      <w:r w:rsidRPr="00ED4757">
        <w:rPr>
          <w:i/>
        </w:rPr>
        <w:t xml:space="preserve"> J.J.</w:t>
      </w:r>
      <w:r w:rsidRPr="00ED4757">
        <w:t xml:space="preserve">, </w:t>
      </w:r>
      <w:r w:rsidRPr="00A22B24">
        <w:t>préc.</w:t>
      </w:r>
      <w:r>
        <w:t>, note 9</w:t>
      </w:r>
      <w:r w:rsidRPr="00ED4757">
        <w:t xml:space="preserve">, </w:t>
      </w:r>
      <w:r>
        <w:t>par.</w:t>
      </w:r>
      <w:r w:rsidRPr="00ED4757">
        <w:t xml:space="preserve"> </w:t>
      </w:r>
      <w:r>
        <w:t xml:space="preserve">32; </w:t>
      </w:r>
      <w:r w:rsidRPr="00ED4757">
        <w:rPr>
          <w:i/>
        </w:rPr>
        <w:t xml:space="preserve">Infineon Technologies AG </w:t>
      </w:r>
      <w:r>
        <w:t>c</w:t>
      </w:r>
      <w:r w:rsidRPr="009548BF">
        <w:t>.</w:t>
      </w:r>
      <w:r w:rsidRPr="00ED4757">
        <w:rPr>
          <w:i/>
        </w:rPr>
        <w:t xml:space="preserve"> Option consommateurs</w:t>
      </w:r>
      <w:r>
        <w:t xml:space="preserve">, </w:t>
      </w:r>
      <w:r w:rsidR="00221FEE" w:rsidRPr="00A22B24">
        <w:t>préc.</w:t>
      </w:r>
      <w:r w:rsidR="00221FEE" w:rsidRPr="00FD0BAD">
        <w:rPr>
          <w:i/>
        </w:rPr>
        <w:t>,</w:t>
      </w:r>
      <w:r w:rsidR="00221FEE">
        <w:t xml:space="preserve"> note </w:t>
      </w:r>
      <w:r>
        <w:t>4,</w:t>
      </w:r>
      <w:r w:rsidRPr="00ED4757">
        <w:t xml:space="preserve"> </w:t>
      </w:r>
      <w:r>
        <w:t>par.</w:t>
      </w:r>
      <w:r w:rsidRPr="00ED4757">
        <w:t xml:space="preserve"> </w:t>
      </w:r>
      <w:r>
        <w:t>149;</w:t>
      </w:r>
      <w:r w:rsidRPr="00D72534">
        <w:rPr>
          <w:i/>
        </w:rPr>
        <w:t xml:space="preserve"> </w:t>
      </w:r>
      <w:r w:rsidRPr="00B41E28">
        <w:rPr>
          <w:i/>
        </w:rPr>
        <w:t xml:space="preserve">Tenzer </w:t>
      </w:r>
      <w:r w:rsidRPr="00F9722A">
        <w:t>c.</w:t>
      </w:r>
      <w:r w:rsidRPr="00B41E28">
        <w:rPr>
          <w:i/>
        </w:rPr>
        <w:t xml:space="preserve"> Huawei Technologies Canada Co. Ltd.</w:t>
      </w:r>
      <w:r w:rsidRPr="00B41E28">
        <w:t xml:space="preserve">, </w:t>
      </w:r>
      <w:r>
        <w:t>préc., note 10, par. 30;</w:t>
      </w:r>
      <w:r w:rsidRPr="005564B3">
        <w:t xml:space="preserve"> </w:t>
      </w:r>
      <w:r w:rsidRPr="005564B3">
        <w:rPr>
          <w:i/>
        </w:rPr>
        <w:t>Sibiga</w:t>
      </w:r>
      <w:r w:rsidRPr="00F9722A">
        <w:t xml:space="preserve"> c.</w:t>
      </w:r>
      <w:r w:rsidRPr="005564B3">
        <w:rPr>
          <w:i/>
        </w:rPr>
        <w:t xml:space="preserve"> Fido Solutions inc., </w:t>
      </w:r>
      <w:r w:rsidRPr="00A22B24">
        <w:t>préc.</w:t>
      </w:r>
      <w:r w:rsidRPr="005564B3">
        <w:rPr>
          <w:i/>
        </w:rPr>
        <w:t>,</w:t>
      </w:r>
      <w:r>
        <w:t xml:space="preserve"> note 19</w:t>
      </w:r>
      <w:r w:rsidR="00A62BB7">
        <w:t>,</w:t>
      </w:r>
      <w:r>
        <w:t xml:space="preserve"> par.</w:t>
      </w:r>
      <w:r w:rsidRPr="005564B3">
        <w:t xml:space="preserve"> </w:t>
      </w:r>
      <w:r>
        <w:t>97</w:t>
      </w:r>
      <w:r w:rsidRPr="005564B3">
        <w:t>.</w:t>
      </w:r>
    </w:p>
  </w:footnote>
  <w:footnote w:id="68">
    <w:p w14:paraId="4290DA20" w14:textId="77777777" w:rsidR="00E34FF2" w:rsidRPr="00F46D85" w:rsidRDefault="00B2678F" w:rsidP="00E34FF2">
      <w:pPr>
        <w:pStyle w:val="Notedebasdepage"/>
      </w:pPr>
      <w:r>
        <w:rPr>
          <w:rStyle w:val="Appelnotedebasdep"/>
        </w:rPr>
        <w:footnoteRef/>
      </w:r>
      <w:r w:rsidRPr="005564B3">
        <w:t xml:space="preserve"> </w:t>
      </w:r>
      <w:r w:rsidRPr="005564B3">
        <w:tab/>
      </w:r>
      <w:r w:rsidRPr="00ED4757">
        <w:rPr>
          <w:i/>
        </w:rPr>
        <w:t xml:space="preserve">Infineon Technologies AG </w:t>
      </w:r>
      <w:r>
        <w:t>c</w:t>
      </w:r>
      <w:r w:rsidRPr="009548BF">
        <w:t>.</w:t>
      </w:r>
      <w:r w:rsidRPr="00ED4757">
        <w:rPr>
          <w:i/>
        </w:rPr>
        <w:t xml:space="preserve"> Option consommateurs</w:t>
      </w:r>
      <w:r>
        <w:t xml:space="preserve">, </w:t>
      </w:r>
      <w:r w:rsidR="00221FEE" w:rsidRPr="00A22B24">
        <w:t>préc.</w:t>
      </w:r>
      <w:r w:rsidR="00221FEE" w:rsidRPr="00FD0BAD">
        <w:rPr>
          <w:i/>
        </w:rPr>
        <w:t>,</w:t>
      </w:r>
      <w:r w:rsidR="00221FEE">
        <w:t xml:space="preserve"> note </w:t>
      </w:r>
      <w:r>
        <w:t>4,</w:t>
      </w:r>
      <w:r w:rsidRPr="00ED4757">
        <w:t xml:space="preserve"> </w:t>
      </w:r>
      <w:r>
        <w:t>par.</w:t>
      </w:r>
      <w:r w:rsidRPr="00ED4757">
        <w:t xml:space="preserve"> </w:t>
      </w:r>
      <w:r w:rsidRPr="00F46D85">
        <w:t>149.</w:t>
      </w:r>
    </w:p>
  </w:footnote>
  <w:footnote w:id="69">
    <w:p w14:paraId="4A0CDA63" w14:textId="77777777" w:rsidR="00E34FF2" w:rsidRPr="00B55B45" w:rsidRDefault="00B2678F" w:rsidP="00E34FF2">
      <w:pPr>
        <w:pStyle w:val="Notedebasdepage"/>
      </w:pPr>
      <w:r>
        <w:rPr>
          <w:rStyle w:val="Appelnotedebasdep"/>
        </w:rPr>
        <w:footnoteRef/>
      </w:r>
      <w:r w:rsidRPr="005E6A09">
        <w:t xml:space="preserve"> </w:t>
      </w:r>
      <w:r w:rsidRPr="005E6A09">
        <w:tab/>
      </w:r>
      <w:r w:rsidRPr="00ED4757">
        <w:rPr>
          <w:i/>
        </w:rPr>
        <w:t>L’Oratoire Saint</w:t>
      </w:r>
      <w:r w:rsidRPr="00ED4757">
        <w:rPr>
          <w:rFonts w:ascii="Cambria Math" w:hAnsi="Cambria Math" w:cs="Cambria Math"/>
          <w:i/>
        </w:rPr>
        <w:t>‑</w:t>
      </w:r>
      <w:r w:rsidRPr="00ED4757">
        <w:rPr>
          <w:i/>
        </w:rPr>
        <w:t>Joseph du Mont</w:t>
      </w:r>
      <w:r w:rsidRPr="00ED4757">
        <w:rPr>
          <w:rFonts w:ascii="Cambria Math" w:hAnsi="Cambria Math" w:cs="Cambria Math"/>
          <w:i/>
        </w:rPr>
        <w:t>‑</w:t>
      </w:r>
      <w:r w:rsidRPr="00ED4757">
        <w:rPr>
          <w:i/>
        </w:rPr>
        <w:t xml:space="preserve">Royal </w:t>
      </w:r>
      <w:r>
        <w:t>c</w:t>
      </w:r>
      <w:r w:rsidRPr="009548BF">
        <w:t>.</w:t>
      </w:r>
      <w:r w:rsidRPr="00ED4757">
        <w:rPr>
          <w:i/>
        </w:rPr>
        <w:t xml:space="preserve"> J.J.</w:t>
      </w:r>
      <w:r w:rsidRPr="00ED4757">
        <w:t xml:space="preserve">, </w:t>
      </w:r>
      <w:r w:rsidRPr="00A22B24">
        <w:t>préc.</w:t>
      </w:r>
      <w:r>
        <w:t>, note 9</w:t>
      </w:r>
      <w:r w:rsidRPr="00ED4757">
        <w:t xml:space="preserve">, </w:t>
      </w:r>
      <w:r>
        <w:t>par.</w:t>
      </w:r>
      <w:r w:rsidRPr="00ED4757">
        <w:t xml:space="preserve"> </w:t>
      </w:r>
      <w:r>
        <w:t xml:space="preserve">31; </w:t>
      </w:r>
      <w:r w:rsidRPr="005E6A09">
        <w:rPr>
          <w:i/>
        </w:rPr>
        <w:t>Apple Canada inc.</w:t>
      </w:r>
      <w:r w:rsidRPr="008B15DE">
        <w:t xml:space="preserve"> c.</w:t>
      </w:r>
      <w:r w:rsidRPr="005E6A09">
        <w:rPr>
          <w:i/>
        </w:rPr>
        <w:t xml:space="preserve"> Badaoui, </w:t>
      </w:r>
      <w:r w:rsidRPr="00A22B24">
        <w:t>préc.</w:t>
      </w:r>
      <w:r w:rsidRPr="005E6A09">
        <w:rPr>
          <w:i/>
        </w:rPr>
        <w:t>,</w:t>
      </w:r>
      <w:r w:rsidRPr="005E6A09">
        <w:t xml:space="preserve"> note </w:t>
      </w:r>
      <w:r>
        <w:t>10, par. 29;</w:t>
      </w:r>
      <w:r w:rsidRPr="008E6708">
        <w:t xml:space="preserve"> </w:t>
      </w:r>
      <w:r w:rsidRPr="00DC0BA4">
        <w:rPr>
          <w:i/>
        </w:rPr>
        <w:t xml:space="preserve">Martel </w:t>
      </w:r>
      <w:r w:rsidRPr="008B15DE">
        <w:t>c.</w:t>
      </w:r>
      <w:r w:rsidRPr="00DC0BA4">
        <w:rPr>
          <w:i/>
        </w:rPr>
        <w:t xml:space="preserve"> Kia Canada inc.</w:t>
      </w:r>
      <w:r w:rsidRPr="00DC0BA4">
        <w:t xml:space="preserve">, </w:t>
      </w:r>
      <w:r w:rsidR="00E6509E">
        <w:t xml:space="preserve">préc., note </w:t>
      </w:r>
      <w:r>
        <w:t>65.</w:t>
      </w:r>
    </w:p>
  </w:footnote>
  <w:footnote w:id="70">
    <w:p w14:paraId="6A22DCDB" w14:textId="77777777" w:rsidR="00E34FF2" w:rsidRPr="008E6708" w:rsidRDefault="00B2678F" w:rsidP="00E34FF2">
      <w:pPr>
        <w:pStyle w:val="Notedebasdepage"/>
      </w:pPr>
      <w:r>
        <w:rPr>
          <w:rStyle w:val="Appelnotedebasdep"/>
        </w:rPr>
        <w:footnoteRef/>
      </w:r>
      <w:r w:rsidRPr="00321CB3">
        <w:t xml:space="preserve"> </w:t>
      </w:r>
      <w:r w:rsidRPr="00321CB3">
        <w:tab/>
      </w:r>
      <w:r w:rsidRPr="00321CB3">
        <w:rPr>
          <w:i/>
        </w:rPr>
        <w:t xml:space="preserve">George </w:t>
      </w:r>
      <w:r w:rsidRPr="00321CB3">
        <w:t>c.</w:t>
      </w:r>
      <w:r w:rsidRPr="00321CB3">
        <w:rPr>
          <w:i/>
        </w:rPr>
        <w:t xml:space="preserve"> Québec (Procureur général)</w:t>
      </w:r>
      <w:r w:rsidRPr="00321CB3">
        <w:t xml:space="preserve">, 2006 QCCA 1204, par. </w:t>
      </w:r>
      <w:r w:rsidRPr="008E6708">
        <w:t>40.</w:t>
      </w:r>
    </w:p>
  </w:footnote>
  <w:footnote w:id="71">
    <w:p w14:paraId="567FB60B" w14:textId="77777777" w:rsidR="00E34FF2" w:rsidRPr="00244EE8" w:rsidRDefault="00B2678F" w:rsidP="00E34FF2">
      <w:pPr>
        <w:pStyle w:val="Notedebasdepage"/>
      </w:pPr>
      <w:r>
        <w:rPr>
          <w:rStyle w:val="Appelnotedebasdep"/>
        </w:rPr>
        <w:footnoteRef/>
      </w:r>
      <w:r>
        <w:t xml:space="preserve"> </w:t>
      </w:r>
      <w:r>
        <w:tab/>
      </w:r>
      <w:r w:rsidRPr="00244EE8">
        <w:rPr>
          <w:i/>
        </w:rPr>
        <w:t xml:space="preserve">Cie de matériaux de construction BP Canada </w:t>
      </w:r>
      <w:r w:rsidR="00E6509E" w:rsidRPr="005E2A8B">
        <w:rPr>
          <w:iCs/>
        </w:rPr>
        <w:t>c.</w:t>
      </w:r>
      <w:r w:rsidRPr="00244EE8">
        <w:rPr>
          <w:i/>
        </w:rPr>
        <w:t xml:space="preserve"> Fitzsimmons</w:t>
      </w:r>
      <w:r w:rsidRPr="00244EE8">
        <w:t>, 2017 QCCA 1329, par. 49.</w:t>
      </w:r>
    </w:p>
  </w:footnote>
  <w:footnote w:id="72">
    <w:p w14:paraId="7C77A0D4" w14:textId="77777777" w:rsidR="00E34FF2" w:rsidRPr="00533861" w:rsidRDefault="00B2678F" w:rsidP="00E34FF2">
      <w:pPr>
        <w:pStyle w:val="Notedebasdepage"/>
      </w:pPr>
      <w:r>
        <w:rPr>
          <w:rStyle w:val="Appelnotedebasdep"/>
        </w:rPr>
        <w:footnoteRef/>
      </w:r>
      <w:r w:rsidRPr="00533861">
        <w:t xml:space="preserve"> </w:t>
      </w:r>
      <w:r>
        <w:tab/>
      </w:r>
      <w:r w:rsidRPr="00027FCA">
        <w:rPr>
          <w:i/>
        </w:rPr>
        <w:t xml:space="preserve">M.L. </w:t>
      </w:r>
      <w:r w:rsidRPr="005E2A8B">
        <w:rPr>
          <w:iCs/>
        </w:rPr>
        <w:t>c.</w:t>
      </w:r>
      <w:r w:rsidRPr="00027FCA">
        <w:rPr>
          <w:i/>
        </w:rPr>
        <w:t xml:space="preserve"> Guillot</w:t>
      </w:r>
      <w:r w:rsidRPr="00027FCA">
        <w:t>, 2021 QCCA 1450</w:t>
      </w:r>
      <w:r>
        <w:t>, par. 25</w:t>
      </w:r>
      <w:r w:rsidR="00E6509E">
        <w:t xml:space="preserve"> et </w:t>
      </w:r>
      <w:r>
        <w:t xml:space="preserve">26; </w:t>
      </w:r>
      <w:r w:rsidRPr="00A41B24">
        <w:rPr>
          <w:i/>
        </w:rPr>
        <w:t xml:space="preserve">Levy </w:t>
      </w:r>
      <w:r w:rsidRPr="005E2A8B">
        <w:rPr>
          <w:iCs/>
        </w:rPr>
        <w:t xml:space="preserve">c. </w:t>
      </w:r>
      <w:r w:rsidRPr="00A41B24">
        <w:rPr>
          <w:i/>
        </w:rPr>
        <w:t>Nissan Canada inc.</w:t>
      </w:r>
      <w:r w:rsidRPr="00A41B24">
        <w:t xml:space="preserve">, </w:t>
      </w:r>
      <w:r w:rsidR="00FB37B8">
        <w:t xml:space="preserve">préc., note </w:t>
      </w:r>
      <w:r>
        <w:t>12, par. 41</w:t>
      </w:r>
      <w:r w:rsidR="00E6509E">
        <w:t xml:space="preserve"> à </w:t>
      </w:r>
      <w:r>
        <w:t xml:space="preserve">43; </w:t>
      </w:r>
      <w:r w:rsidRPr="005564B3">
        <w:rPr>
          <w:i/>
        </w:rPr>
        <w:t>Sibiga</w:t>
      </w:r>
      <w:r w:rsidRPr="00F9722A">
        <w:t xml:space="preserve"> c.</w:t>
      </w:r>
      <w:r w:rsidRPr="005564B3">
        <w:rPr>
          <w:i/>
        </w:rPr>
        <w:t xml:space="preserve"> Fido Solutions inc., </w:t>
      </w:r>
      <w:r w:rsidR="00E6509E">
        <w:rPr>
          <w:iCs/>
        </w:rPr>
        <w:t>préc.</w:t>
      </w:r>
      <w:r w:rsidRPr="005E2A8B">
        <w:rPr>
          <w:iCs/>
        </w:rPr>
        <w:t>,</w:t>
      </w:r>
      <w:r>
        <w:t xml:space="preserve"> note 19</w:t>
      </w:r>
      <w:r w:rsidRPr="00533861">
        <w:t xml:space="preserve">, par. </w:t>
      </w:r>
      <w:r>
        <w:t>136</w:t>
      </w:r>
      <w:r w:rsidR="00E6509E">
        <w:t xml:space="preserve"> et </w:t>
      </w:r>
      <w:r w:rsidRPr="00533861">
        <w:t>137</w:t>
      </w:r>
      <w:r>
        <w:t xml:space="preserve">; </w:t>
      </w:r>
      <w:r w:rsidRPr="00921269">
        <w:rPr>
          <w:i/>
        </w:rPr>
        <w:t xml:space="preserve">Blouin </w:t>
      </w:r>
      <w:r w:rsidR="00E6509E" w:rsidRPr="005E2A8B">
        <w:rPr>
          <w:iCs/>
        </w:rPr>
        <w:t>c.</w:t>
      </w:r>
      <w:r w:rsidRPr="00921269">
        <w:rPr>
          <w:i/>
        </w:rPr>
        <w:t xml:space="preserve"> Parcs éoliens de la Seigneurie</w:t>
      </w:r>
      <w:r w:rsidRPr="00533861">
        <w:rPr>
          <w:i/>
        </w:rPr>
        <w:t xml:space="preserve"> de Beaupré 2 et 3, s.e.n.c.</w:t>
      </w:r>
      <w:r w:rsidRPr="00533861">
        <w:t xml:space="preserve">, 2016 QCCA 77, par. </w:t>
      </w:r>
      <w:r>
        <w:t xml:space="preserve">10 </w:t>
      </w:r>
      <w:r w:rsidR="00921269">
        <w:t xml:space="preserve">et </w:t>
      </w:r>
      <w:r w:rsidRPr="00533861">
        <w:t>14</w:t>
      </w:r>
      <w:r w:rsidR="00921269">
        <w:t xml:space="preserve"> (d</w:t>
      </w:r>
      <w:r w:rsidR="00921269" w:rsidRPr="00921269">
        <w:t>emande d'approbation de la transaction accueillie, 2019 QCCS 2968</w:t>
      </w:r>
      <w:r w:rsidR="00921269">
        <w:t>)</w:t>
      </w:r>
      <w:r w:rsidRPr="00533861">
        <w:t xml:space="preserve">; </w:t>
      </w:r>
      <w:r w:rsidRPr="009F3A2F">
        <w:rPr>
          <w:i/>
          <w:iCs/>
        </w:rPr>
        <w:t xml:space="preserve">Fournier </w:t>
      </w:r>
      <w:r w:rsidRPr="005E2A8B">
        <w:t>c.</w:t>
      </w:r>
      <w:r w:rsidRPr="009F3A2F">
        <w:rPr>
          <w:i/>
          <w:iCs/>
        </w:rPr>
        <w:t xml:space="preserve"> Banque de Nouvelle-Écosse</w:t>
      </w:r>
      <w:r w:rsidRPr="009F3A2F">
        <w:t>, 2011 QCCA 1459, par. 50</w:t>
      </w:r>
      <w:r w:rsidR="00921269">
        <w:t xml:space="preserve"> et </w:t>
      </w:r>
      <w:r w:rsidRPr="009F3A2F">
        <w:t>51</w:t>
      </w:r>
      <w:r>
        <w:t xml:space="preserve">; </w:t>
      </w:r>
      <w:r w:rsidRPr="00A41B24">
        <w:rPr>
          <w:i/>
        </w:rPr>
        <w:t xml:space="preserve">Citoyens pour une qualité de vie/Citizens for a Quality of Life </w:t>
      </w:r>
      <w:r w:rsidR="00921269" w:rsidRPr="005E2A8B">
        <w:rPr>
          <w:iCs/>
        </w:rPr>
        <w:t>c</w:t>
      </w:r>
      <w:r w:rsidRPr="005E2A8B">
        <w:rPr>
          <w:iCs/>
        </w:rPr>
        <w:t>.</w:t>
      </w:r>
      <w:r w:rsidRPr="00A41B24">
        <w:rPr>
          <w:i/>
        </w:rPr>
        <w:t xml:space="preserve"> Aéroports de Montréal</w:t>
      </w:r>
      <w:r w:rsidRPr="00533861">
        <w:t>, 2007 QCCA 1274, par. 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38E5" w14:textId="77777777" w:rsidR="00121A72" w:rsidRDefault="00B2678F">
    <w:pPr>
      <w:tabs>
        <w:tab w:val="center" w:pos="4709"/>
        <w:tab w:val="right" w:pos="9360"/>
      </w:tabs>
      <w:ind w:right="524"/>
    </w:pPr>
    <w:r w:rsidRPr="002557BA">
      <w:t>500-06-001299-243</w:t>
    </w:r>
    <w:r>
      <w:tab/>
    </w:r>
    <w:r>
      <w:tab/>
      <w:t xml:space="preserve">PAGE : </w:t>
    </w:r>
    <w:r>
      <w:fldChar w:fldCharType="begin"/>
    </w:r>
    <w:r>
      <w:instrText xml:space="preserve"> PAGE </w:instrText>
    </w:r>
    <w:r>
      <w:fldChar w:fldCharType="separate"/>
    </w:r>
    <w:r>
      <w:t>23</w:t>
    </w:r>
    <w:r>
      <w:fldChar w:fldCharType="end"/>
    </w:r>
  </w:p>
  <w:p w14:paraId="1B25B41C" w14:textId="77777777" w:rsidR="00121A72" w:rsidRDefault="00121A72">
    <w:pPr>
      <w:tabs>
        <w:tab w:val="center" w:pos="4709"/>
        <w:tab w:val="right" w:pos="9090"/>
      </w:tabs>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36E0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69EF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6E68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762F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75ED9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D008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1446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AE9E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C0D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C827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641AE"/>
    <w:multiLevelType w:val="hybridMultilevel"/>
    <w:tmpl w:val="CCBCFC24"/>
    <w:lvl w:ilvl="0" w:tplc="FB826B72">
      <w:start w:val="1"/>
      <w:numFmt w:val="decimal"/>
      <w:lvlText w:val="%1."/>
      <w:lvlJc w:val="left"/>
      <w:pPr>
        <w:ind w:left="720" w:hanging="360"/>
      </w:pPr>
    </w:lvl>
    <w:lvl w:ilvl="1" w:tplc="5A6A1FE4" w:tentative="1">
      <w:start w:val="1"/>
      <w:numFmt w:val="lowerLetter"/>
      <w:lvlText w:val="%2."/>
      <w:lvlJc w:val="left"/>
      <w:pPr>
        <w:ind w:left="1440" w:hanging="360"/>
      </w:pPr>
    </w:lvl>
    <w:lvl w:ilvl="2" w:tplc="F99EE610" w:tentative="1">
      <w:start w:val="1"/>
      <w:numFmt w:val="lowerRoman"/>
      <w:lvlText w:val="%3."/>
      <w:lvlJc w:val="right"/>
      <w:pPr>
        <w:ind w:left="2160" w:hanging="180"/>
      </w:pPr>
    </w:lvl>
    <w:lvl w:ilvl="3" w:tplc="73B099E2" w:tentative="1">
      <w:start w:val="1"/>
      <w:numFmt w:val="decimal"/>
      <w:lvlText w:val="%4."/>
      <w:lvlJc w:val="left"/>
      <w:pPr>
        <w:ind w:left="2880" w:hanging="360"/>
      </w:pPr>
    </w:lvl>
    <w:lvl w:ilvl="4" w:tplc="DCA647C2" w:tentative="1">
      <w:start w:val="1"/>
      <w:numFmt w:val="lowerLetter"/>
      <w:lvlText w:val="%5."/>
      <w:lvlJc w:val="left"/>
      <w:pPr>
        <w:ind w:left="3600" w:hanging="360"/>
      </w:pPr>
    </w:lvl>
    <w:lvl w:ilvl="5" w:tplc="39D4CA5E" w:tentative="1">
      <w:start w:val="1"/>
      <w:numFmt w:val="lowerRoman"/>
      <w:lvlText w:val="%6."/>
      <w:lvlJc w:val="right"/>
      <w:pPr>
        <w:ind w:left="4320" w:hanging="180"/>
      </w:pPr>
    </w:lvl>
    <w:lvl w:ilvl="6" w:tplc="11ECDFA0" w:tentative="1">
      <w:start w:val="1"/>
      <w:numFmt w:val="decimal"/>
      <w:lvlText w:val="%7."/>
      <w:lvlJc w:val="left"/>
      <w:pPr>
        <w:ind w:left="5040" w:hanging="360"/>
      </w:pPr>
    </w:lvl>
    <w:lvl w:ilvl="7" w:tplc="8D22B302" w:tentative="1">
      <w:start w:val="1"/>
      <w:numFmt w:val="lowerLetter"/>
      <w:lvlText w:val="%8."/>
      <w:lvlJc w:val="left"/>
      <w:pPr>
        <w:ind w:left="5760" w:hanging="360"/>
      </w:pPr>
    </w:lvl>
    <w:lvl w:ilvl="8" w:tplc="E0744436" w:tentative="1">
      <w:start w:val="1"/>
      <w:numFmt w:val="lowerRoman"/>
      <w:lvlText w:val="%9."/>
      <w:lvlJc w:val="right"/>
      <w:pPr>
        <w:ind w:left="6480" w:hanging="180"/>
      </w:pPr>
    </w:lvl>
  </w:abstractNum>
  <w:abstractNum w:abstractNumId="11" w15:restartNumberingAfterBreak="0">
    <w:nsid w:val="269610C7"/>
    <w:multiLevelType w:val="hybridMultilevel"/>
    <w:tmpl w:val="08587A00"/>
    <w:lvl w:ilvl="0" w:tplc="25E40996">
      <w:start w:val="1"/>
      <w:numFmt w:val="lowerLetter"/>
      <w:lvlText w:val="%1."/>
      <w:lvlJc w:val="left"/>
      <w:pPr>
        <w:ind w:left="1157" w:hanging="360"/>
      </w:pPr>
      <w:rPr>
        <w:rFonts w:hint="default"/>
      </w:rPr>
    </w:lvl>
    <w:lvl w:ilvl="1" w:tplc="1D6C260C" w:tentative="1">
      <w:start w:val="1"/>
      <w:numFmt w:val="lowerLetter"/>
      <w:lvlText w:val="%2."/>
      <w:lvlJc w:val="left"/>
      <w:pPr>
        <w:ind w:left="1877" w:hanging="360"/>
      </w:pPr>
    </w:lvl>
    <w:lvl w:ilvl="2" w:tplc="1278F978" w:tentative="1">
      <w:start w:val="1"/>
      <w:numFmt w:val="lowerRoman"/>
      <w:lvlText w:val="%3."/>
      <w:lvlJc w:val="right"/>
      <w:pPr>
        <w:ind w:left="2597" w:hanging="180"/>
      </w:pPr>
    </w:lvl>
    <w:lvl w:ilvl="3" w:tplc="2654D7BA" w:tentative="1">
      <w:start w:val="1"/>
      <w:numFmt w:val="decimal"/>
      <w:lvlText w:val="%4."/>
      <w:lvlJc w:val="left"/>
      <w:pPr>
        <w:ind w:left="3317" w:hanging="360"/>
      </w:pPr>
    </w:lvl>
    <w:lvl w:ilvl="4" w:tplc="B916F522" w:tentative="1">
      <w:start w:val="1"/>
      <w:numFmt w:val="lowerLetter"/>
      <w:lvlText w:val="%5."/>
      <w:lvlJc w:val="left"/>
      <w:pPr>
        <w:ind w:left="4037" w:hanging="360"/>
      </w:pPr>
    </w:lvl>
    <w:lvl w:ilvl="5" w:tplc="AE78A8A4" w:tentative="1">
      <w:start w:val="1"/>
      <w:numFmt w:val="lowerRoman"/>
      <w:lvlText w:val="%6."/>
      <w:lvlJc w:val="right"/>
      <w:pPr>
        <w:ind w:left="4757" w:hanging="180"/>
      </w:pPr>
    </w:lvl>
    <w:lvl w:ilvl="6" w:tplc="091A6D5C" w:tentative="1">
      <w:start w:val="1"/>
      <w:numFmt w:val="decimal"/>
      <w:lvlText w:val="%7."/>
      <w:lvlJc w:val="left"/>
      <w:pPr>
        <w:ind w:left="5477" w:hanging="360"/>
      </w:pPr>
    </w:lvl>
    <w:lvl w:ilvl="7" w:tplc="D13210F0" w:tentative="1">
      <w:start w:val="1"/>
      <w:numFmt w:val="lowerLetter"/>
      <w:lvlText w:val="%8."/>
      <w:lvlJc w:val="left"/>
      <w:pPr>
        <w:ind w:left="6197" w:hanging="360"/>
      </w:pPr>
    </w:lvl>
    <w:lvl w:ilvl="8" w:tplc="05667A9A" w:tentative="1">
      <w:start w:val="1"/>
      <w:numFmt w:val="lowerRoman"/>
      <w:lvlText w:val="%9."/>
      <w:lvlJc w:val="right"/>
      <w:pPr>
        <w:ind w:left="6917" w:hanging="180"/>
      </w:pPr>
    </w:lvl>
  </w:abstractNum>
  <w:abstractNum w:abstractNumId="12" w15:restartNumberingAfterBreak="0">
    <w:nsid w:val="29B11B71"/>
    <w:multiLevelType w:val="multilevel"/>
    <w:tmpl w:val="78E43A60"/>
    <w:name w:val="Style1"/>
    <w:styleLink w:val="Style1"/>
    <w:lvl w:ilvl="0">
      <w:start w:val="1"/>
      <w:numFmt w:val="decimal"/>
      <w:pStyle w:val="Titre2"/>
      <w:lvlText w:val="%1."/>
      <w:lvlJc w:val="left"/>
      <w:pPr>
        <w:ind w:left="431" w:hanging="431"/>
      </w:pPr>
      <w:rPr>
        <w:rFonts w:hint="default"/>
      </w:rPr>
    </w:lvl>
    <w:lvl w:ilvl="1">
      <w:start w:val="1"/>
      <w:numFmt w:val="decimal"/>
      <w:pStyle w:val="Titre3"/>
      <w:lvlText w:val="%1.%2"/>
      <w:lvlJc w:val="left"/>
      <w:pPr>
        <w:ind w:left="431" w:hanging="431"/>
      </w:pPr>
      <w:rPr>
        <w:rFonts w:hint="default"/>
      </w:rPr>
    </w:lvl>
    <w:lvl w:ilvl="2">
      <w:start w:val="1"/>
      <w:numFmt w:val="decimal"/>
      <w:pStyle w:val="Titre4"/>
      <w:lvlText w:val="%1.%2.%3"/>
      <w:lvlJc w:val="left"/>
      <w:pPr>
        <w:ind w:left="431" w:hanging="431"/>
      </w:pPr>
      <w:rPr>
        <w:rFonts w:hint="default"/>
      </w:rPr>
    </w:lvl>
    <w:lvl w:ilvl="3">
      <w:start w:val="1"/>
      <w:numFmt w:val="decimal"/>
      <w:pStyle w:val="Titre5"/>
      <w:lvlText w:val="%1.%2.%3.%4"/>
      <w:lvlJc w:val="left"/>
      <w:pPr>
        <w:ind w:left="431" w:hanging="431"/>
      </w:pPr>
      <w:rPr>
        <w:rFonts w:hint="default"/>
      </w:rPr>
    </w:lvl>
    <w:lvl w:ilvl="4">
      <w:start w:val="1"/>
      <w:numFmt w:val="decimal"/>
      <w:pStyle w:val="Titre6"/>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3" w15:restartNumberingAfterBreak="0">
    <w:nsid w:val="29F6013E"/>
    <w:multiLevelType w:val="hybridMultilevel"/>
    <w:tmpl w:val="64A6C874"/>
    <w:lvl w:ilvl="0" w:tplc="1428C662">
      <w:start w:val="1"/>
      <w:numFmt w:val="decimal"/>
      <w:lvlText w:val="%1."/>
      <w:lvlJc w:val="left"/>
      <w:pPr>
        <w:ind w:left="720" w:hanging="360"/>
      </w:pPr>
      <w:rPr>
        <w:rFonts w:hint="default"/>
      </w:rPr>
    </w:lvl>
    <w:lvl w:ilvl="1" w:tplc="1F8A34C6" w:tentative="1">
      <w:start w:val="1"/>
      <w:numFmt w:val="lowerLetter"/>
      <w:lvlText w:val="%2."/>
      <w:lvlJc w:val="left"/>
      <w:pPr>
        <w:ind w:left="1440" w:hanging="360"/>
      </w:pPr>
    </w:lvl>
    <w:lvl w:ilvl="2" w:tplc="F1E21C0E" w:tentative="1">
      <w:start w:val="1"/>
      <w:numFmt w:val="lowerRoman"/>
      <w:lvlText w:val="%3."/>
      <w:lvlJc w:val="right"/>
      <w:pPr>
        <w:ind w:left="2160" w:hanging="180"/>
      </w:pPr>
    </w:lvl>
    <w:lvl w:ilvl="3" w:tplc="CE9CD32C" w:tentative="1">
      <w:start w:val="1"/>
      <w:numFmt w:val="decimal"/>
      <w:lvlText w:val="%4."/>
      <w:lvlJc w:val="left"/>
      <w:pPr>
        <w:ind w:left="2880" w:hanging="360"/>
      </w:pPr>
    </w:lvl>
    <w:lvl w:ilvl="4" w:tplc="CBDEB97A" w:tentative="1">
      <w:start w:val="1"/>
      <w:numFmt w:val="lowerLetter"/>
      <w:lvlText w:val="%5."/>
      <w:lvlJc w:val="left"/>
      <w:pPr>
        <w:ind w:left="3600" w:hanging="360"/>
      </w:pPr>
    </w:lvl>
    <w:lvl w:ilvl="5" w:tplc="0A62C006" w:tentative="1">
      <w:start w:val="1"/>
      <w:numFmt w:val="lowerRoman"/>
      <w:lvlText w:val="%6."/>
      <w:lvlJc w:val="right"/>
      <w:pPr>
        <w:ind w:left="4320" w:hanging="180"/>
      </w:pPr>
    </w:lvl>
    <w:lvl w:ilvl="6" w:tplc="190AFE30" w:tentative="1">
      <w:start w:val="1"/>
      <w:numFmt w:val="decimal"/>
      <w:lvlText w:val="%7."/>
      <w:lvlJc w:val="left"/>
      <w:pPr>
        <w:ind w:left="5040" w:hanging="360"/>
      </w:pPr>
    </w:lvl>
    <w:lvl w:ilvl="7" w:tplc="2B56CBBC" w:tentative="1">
      <w:start w:val="1"/>
      <w:numFmt w:val="lowerLetter"/>
      <w:lvlText w:val="%8."/>
      <w:lvlJc w:val="left"/>
      <w:pPr>
        <w:ind w:left="5760" w:hanging="360"/>
      </w:pPr>
    </w:lvl>
    <w:lvl w:ilvl="8" w:tplc="7D7A3D6C" w:tentative="1">
      <w:start w:val="1"/>
      <w:numFmt w:val="lowerRoman"/>
      <w:lvlText w:val="%9."/>
      <w:lvlJc w:val="right"/>
      <w:pPr>
        <w:ind w:left="6480" w:hanging="180"/>
      </w:pPr>
    </w:lvl>
  </w:abstractNum>
  <w:abstractNum w:abstractNumId="14" w15:restartNumberingAfterBreak="0">
    <w:nsid w:val="2ABB00AC"/>
    <w:multiLevelType w:val="multilevel"/>
    <w:tmpl w:val="B8565C9A"/>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pStyle w:val="Titre7"/>
      <w:lvlText w:val="%1.%2.%3.%4.%5.%6.%7"/>
      <w:lvlJc w:val="left"/>
      <w:pPr>
        <w:ind w:left="431" w:hanging="431"/>
      </w:pPr>
      <w:rPr>
        <w:rFonts w:hint="default"/>
      </w:rPr>
    </w:lvl>
    <w:lvl w:ilvl="7">
      <w:start w:val="1"/>
      <w:numFmt w:val="decimal"/>
      <w:pStyle w:val="Titre8"/>
      <w:lvlText w:val="%1.%2.%3.%4.%5.%6.%7.%8"/>
      <w:lvlJc w:val="left"/>
      <w:pPr>
        <w:ind w:left="431" w:hanging="431"/>
      </w:pPr>
      <w:rPr>
        <w:rFonts w:hint="default"/>
      </w:rPr>
    </w:lvl>
    <w:lvl w:ilvl="8">
      <w:start w:val="1"/>
      <w:numFmt w:val="decimal"/>
      <w:pStyle w:val="Titre9"/>
      <w:lvlText w:val="%1.%2.%3.%4.%5.%6.%7.%8.%9"/>
      <w:lvlJc w:val="left"/>
      <w:pPr>
        <w:ind w:left="431" w:hanging="431"/>
      </w:pPr>
      <w:rPr>
        <w:rFonts w:hint="default"/>
      </w:rPr>
    </w:lvl>
  </w:abstractNum>
  <w:abstractNum w:abstractNumId="15" w15:restartNumberingAfterBreak="0">
    <w:nsid w:val="4BF423AA"/>
    <w:multiLevelType w:val="multilevel"/>
    <w:tmpl w:val="78E43A60"/>
    <w:name w:val="Style12"/>
    <w:numStyleLink w:val="Style1"/>
  </w:abstractNum>
  <w:abstractNum w:abstractNumId="16" w15:restartNumberingAfterBreak="0">
    <w:nsid w:val="52415801"/>
    <w:multiLevelType w:val="multilevel"/>
    <w:tmpl w:val="78E43A60"/>
    <w:numStyleLink w:val="Style1"/>
  </w:abstractNum>
  <w:abstractNum w:abstractNumId="17" w15:restartNumberingAfterBreak="0">
    <w:nsid w:val="5A0C4719"/>
    <w:multiLevelType w:val="multilevel"/>
    <w:tmpl w:val="78E43A60"/>
    <w:name w:val="Style13"/>
    <w:numStyleLink w:val="Style1"/>
  </w:abstractNum>
  <w:abstractNum w:abstractNumId="18" w15:restartNumberingAfterBreak="0">
    <w:nsid w:val="609C0DCC"/>
    <w:multiLevelType w:val="multilevel"/>
    <w:tmpl w:val="5720EF72"/>
    <w:lvl w:ilvl="0">
      <w:start w:val="1"/>
      <w:numFmt w:val="decimal"/>
      <w:pStyle w:val="Paragrdouble"/>
      <w:lvlText w:val="[%1]"/>
      <w:lvlJc w:val="left"/>
      <w:pPr>
        <w:tabs>
          <w:tab w:val="num" w:pos="360"/>
        </w:tabs>
        <w:ind w:left="0" w:firstLine="0"/>
      </w:pPr>
      <w:rPr>
        <w:rFonts w:ascii="Arial" w:hAnsi="Arial" w:hint="default"/>
        <w:b w:val="0"/>
        <w:i w:val="0"/>
        <w:sz w:val="24"/>
      </w:rPr>
    </w:lvl>
    <w:lvl w:ilvl="1">
      <w:start w:val="1"/>
      <w:numFmt w:val="decimal"/>
      <w:pStyle w:val="Sous-paragraphe"/>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D160B4E"/>
    <w:multiLevelType w:val="hybridMultilevel"/>
    <w:tmpl w:val="F4FE39F0"/>
    <w:lvl w:ilvl="0" w:tplc="03EA7886">
      <w:start w:val="1"/>
      <w:numFmt w:val="lowerRoman"/>
      <w:lvlText w:val="%1."/>
      <w:lvlJc w:val="left"/>
      <w:pPr>
        <w:ind w:left="1429" w:hanging="720"/>
      </w:pPr>
      <w:rPr>
        <w:rFonts w:cs="Times New Roman" w:hint="default"/>
      </w:rPr>
    </w:lvl>
    <w:lvl w:ilvl="1" w:tplc="092885DC" w:tentative="1">
      <w:start w:val="1"/>
      <w:numFmt w:val="lowerLetter"/>
      <w:lvlText w:val="%2."/>
      <w:lvlJc w:val="left"/>
      <w:pPr>
        <w:ind w:left="1789" w:hanging="360"/>
      </w:pPr>
    </w:lvl>
    <w:lvl w:ilvl="2" w:tplc="C8F279A4" w:tentative="1">
      <w:start w:val="1"/>
      <w:numFmt w:val="lowerRoman"/>
      <w:lvlText w:val="%3."/>
      <w:lvlJc w:val="right"/>
      <w:pPr>
        <w:ind w:left="2509" w:hanging="180"/>
      </w:pPr>
    </w:lvl>
    <w:lvl w:ilvl="3" w:tplc="FA0C522E" w:tentative="1">
      <w:start w:val="1"/>
      <w:numFmt w:val="decimal"/>
      <w:lvlText w:val="%4."/>
      <w:lvlJc w:val="left"/>
      <w:pPr>
        <w:ind w:left="3229" w:hanging="360"/>
      </w:pPr>
    </w:lvl>
    <w:lvl w:ilvl="4" w:tplc="409626CE" w:tentative="1">
      <w:start w:val="1"/>
      <w:numFmt w:val="lowerLetter"/>
      <w:lvlText w:val="%5."/>
      <w:lvlJc w:val="left"/>
      <w:pPr>
        <w:ind w:left="3949" w:hanging="360"/>
      </w:pPr>
    </w:lvl>
    <w:lvl w:ilvl="5" w:tplc="39584A10" w:tentative="1">
      <w:start w:val="1"/>
      <w:numFmt w:val="lowerRoman"/>
      <w:lvlText w:val="%6."/>
      <w:lvlJc w:val="right"/>
      <w:pPr>
        <w:ind w:left="4669" w:hanging="180"/>
      </w:pPr>
    </w:lvl>
    <w:lvl w:ilvl="6" w:tplc="BB18F754" w:tentative="1">
      <w:start w:val="1"/>
      <w:numFmt w:val="decimal"/>
      <w:lvlText w:val="%7."/>
      <w:lvlJc w:val="left"/>
      <w:pPr>
        <w:ind w:left="5389" w:hanging="360"/>
      </w:pPr>
    </w:lvl>
    <w:lvl w:ilvl="7" w:tplc="FE8244F2" w:tentative="1">
      <w:start w:val="1"/>
      <w:numFmt w:val="lowerLetter"/>
      <w:lvlText w:val="%8."/>
      <w:lvlJc w:val="left"/>
      <w:pPr>
        <w:ind w:left="6109" w:hanging="360"/>
      </w:pPr>
    </w:lvl>
    <w:lvl w:ilvl="8" w:tplc="749E5516" w:tentative="1">
      <w:start w:val="1"/>
      <w:numFmt w:val="lowerRoman"/>
      <w:lvlText w:val="%9."/>
      <w:lvlJc w:val="right"/>
      <w:pPr>
        <w:ind w:left="6829" w:hanging="180"/>
      </w:pPr>
    </w:lvl>
  </w:abstractNum>
  <w:num w:numId="1" w16cid:durableId="1491677654">
    <w:abstractNumId w:val="18"/>
  </w:num>
  <w:num w:numId="2" w16cid:durableId="241720507">
    <w:abstractNumId w:val="18"/>
  </w:num>
  <w:num w:numId="3" w16cid:durableId="1018965255">
    <w:abstractNumId w:val="18"/>
  </w:num>
  <w:num w:numId="4" w16cid:durableId="1394040895">
    <w:abstractNumId w:val="8"/>
  </w:num>
  <w:num w:numId="5" w16cid:durableId="241838824">
    <w:abstractNumId w:val="3"/>
  </w:num>
  <w:num w:numId="6" w16cid:durableId="1462730399">
    <w:abstractNumId w:val="2"/>
  </w:num>
  <w:num w:numId="7" w16cid:durableId="1250851115">
    <w:abstractNumId w:val="1"/>
  </w:num>
  <w:num w:numId="8" w16cid:durableId="1020080825">
    <w:abstractNumId w:val="0"/>
  </w:num>
  <w:num w:numId="9" w16cid:durableId="1257710639">
    <w:abstractNumId w:val="9"/>
  </w:num>
  <w:num w:numId="10" w16cid:durableId="2046757637">
    <w:abstractNumId w:val="7"/>
  </w:num>
  <w:num w:numId="11" w16cid:durableId="584268057">
    <w:abstractNumId w:val="6"/>
  </w:num>
  <w:num w:numId="12" w16cid:durableId="2017877687">
    <w:abstractNumId w:val="5"/>
  </w:num>
  <w:num w:numId="13" w16cid:durableId="1676153589">
    <w:abstractNumId w:val="4"/>
  </w:num>
  <w:num w:numId="14" w16cid:durableId="859199751">
    <w:abstractNumId w:val="10"/>
  </w:num>
  <w:num w:numId="15" w16cid:durableId="1360089481">
    <w:abstractNumId w:val="14"/>
  </w:num>
  <w:num w:numId="16" w16cid:durableId="1671105922">
    <w:abstractNumId w:val="12"/>
  </w:num>
  <w:num w:numId="17" w16cid:durableId="1676494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3826351">
    <w:abstractNumId w:val="16"/>
  </w:num>
  <w:num w:numId="19" w16cid:durableId="1433091093">
    <w:abstractNumId w:val="15"/>
  </w:num>
  <w:num w:numId="20" w16cid:durableId="2040887406">
    <w:abstractNumId w:val="17"/>
  </w:num>
  <w:num w:numId="21" w16cid:durableId="1419061389">
    <w:abstractNumId w:val="17"/>
  </w:num>
  <w:num w:numId="22" w16cid:durableId="1014571412">
    <w:abstractNumId w:val="17"/>
  </w:num>
  <w:num w:numId="23" w16cid:durableId="2115241709">
    <w:abstractNumId w:val="17"/>
  </w:num>
  <w:num w:numId="24" w16cid:durableId="1443187977">
    <w:abstractNumId w:val="17"/>
  </w:num>
  <w:num w:numId="25" w16cid:durableId="1484270278">
    <w:abstractNumId w:val="18"/>
  </w:num>
  <w:num w:numId="26" w16cid:durableId="1253664393">
    <w:abstractNumId w:val="18"/>
  </w:num>
  <w:num w:numId="27" w16cid:durableId="1930775280">
    <w:abstractNumId w:val="18"/>
  </w:num>
  <w:num w:numId="28" w16cid:durableId="1084451512">
    <w:abstractNumId w:val="18"/>
  </w:num>
  <w:num w:numId="29" w16cid:durableId="642471178">
    <w:abstractNumId w:val="18"/>
  </w:num>
  <w:num w:numId="30" w16cid:durableId="140578566">
    <w:abstractNumId w:val="17"/>
  </w:num>
  <w:num w:numId="31" w16cid:durableId="595672849">
    <w:abstractNumId w:val="17"/>
  </w:num>
  <w:num w:numId="32" w16cid:durableId="1947082625">
    <w:abstractNumId w:val="18"/>
  </w:num>
  <w:num w:numId="33" w16cid:durableId="1936398647">
    <w:abstractNumId w:val="18"/>
  </w:num>
  <w:num w:numId="34" w16cid:durableId="455025587">
    <w:abstractNumId w:val="12"/>
  </w:num>
  <w:num w:numId="35" w16cid:durableId="1918707840">
    <w:abstractNumId w:val="13"/>
  </w:num>
  <w:num w:numId="36" w16cid:durableId="519705079">
    <w:abstractNumId w:val="19"/>
  </w:num>
  <w:num w:numId="37" w16cid:durableId="320356070">
    <w:abstractNumId w:val="11"/>
  </w:num>
  <w:num w:numId="38" w16cid:durableId="1374773855">
    <w:abstractNumId w:val="18"/>
  </w:num>
  <w:num w:numId="39" w16cid:durableId="95907649">
    <w:abstractNumId w:val="18"/>
  </w:num>
  <w:num w:numId="40" w16cid:durableId="17146934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31"/>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8F"/>
    <w:rsid w:val="00007687"/>
    <w:rsid w:val="00020104"/>
    <w:rsid w:val="00020EAA"/>
    <w:rsid w:val="00026C30"/>
    <w:rsid w:val="00027FCA"/>
    <w:rsid w:val="00035EE0"/>
    <w:rsid w:val="00041CD8"/>
    <w:rsid w:val="00046979"/>
    <w:rsid w:val="000534E3"/>
    <w:rsid w:val="000601AF"/>
    <w:rsid w:val="00066FA1"/>
    <w:rsid w:val="0007363A"/>
    <w:rsid w:val="00073FC6"/>
    <w:rsid w:val="0008081A"/>
    <w:rsid w:val="00084AC0"/>
    <w:rsid w:val="00093BB4"/>
    <w:rsid w:val="000A3312"/>
    <w:rsid w:val="000A6297"/>
    <w:rsid w:val="000B6F26"/>
    <w:rsid w:val="000D4216"/>
    <w:rsid w:val="000D4E50"/>
    <w:rsid w:val="000D70EF"/>
    <w:rsid w:val="000F378F"/>
    <w:rsid w:val="000F7570"/>
    <w:rsid w:val="001008DB"/>
    <w:rsid w:val="00111BD1"/>
    <w:rsid w:val="00121A72"/>
    <w:rsid w:val="00152BDA"/>
    <w:rsid w:val="001539CF"/>
    <w:rsid w:val="00160998"/>
    <w:rsid w:val="00165C8F"/>
    <w:rsid w:val="00172F4A"/>
    <w:rsid w:val="0017647E"/>
    <w:rsid w:val="00197400"/>
    <w:rsid w:val="001B0DA6"/>
    <w:rsid w:val="001B5282"/>
    <w:rsid w:val="001B7046"/>
    <w:rsid w:val="001D5F69"/>
    <w:rsid w:val="001D72C9"/>
    <w:rsid w:val="001E54DD"/>
    <w:rsid w:val="001F221C"/>
    <w:rsid w:val="00202A42"/>
    <w:rsid w:val="00203556"/>
    <w:rsid w:val="00210FA3"/>
    <w:rsid w:val="00221FEE"/>
    <w:rsid w:val="0023310C"/>
    <w:rsid w:val="00244EE8"/>
    <w:rsid w:val="00246997"/>
    <w:rsid w:val="002528CF"/>
    <w:rsid w:val="002557BA"/>
    <w:rsid w:val="00270972"/>
    <w:rsid w:val="00271B67"/>
    <w:rsid w:val="0027338C"/>
    <w:rsid w:val="00275AC3"/>
    <w:rsid w:val="002819FB"/>
    <w:rsid w:val="002842D6"/>
    <w:rsid w:val="002A0514"/>
    <w:rsid w:val="002A7B92"/>
    <w:rsid w:val="002B78CB"/>
    <w:rsid w:val="00311B62"/>
    <w:rsid w:val="00321CB3"/>
    <w:rsid w:val="00340D16"/>
    <w:rsid w:val="00346702"/>
    <w:rsid w:val="00352D71"/>
    <w:rsid w:val="0036419C"/>
    <w:rsid w:val="00366316"/>
    <w:rsid w:val="00367BE9"/>
    <w:rsid w:val="003703E5"/>
    <w:rsid w:val="003706B2"/>
    <w:rsid w:val="00383B8C"/>
    <w:rsid w:val="00385801"/>
    <w:rsid w:val="00386BB7"/>
    <w:rsid w:val="00387BD7"/>
    <w:rsid w:val="0039453E"/>
    <w:rsid w:val="003A6133"/>
    <w:rsid w:val="003F43C8"/>
    <w:rsid w:val="003F6CB5"/>
    <w:rsid w:val="003F7A31"/>
    <w:rsid w:val="00404506"/>
    <w:rsid w:val="004121D2"/>
    <w:rsid w:val="00413C24"/>
    <w:rsid w:val="004164F7"/>
    <w:rsid w:val="004176F5"/>
    <w:rsid w:val="00421A76"/>
    <w:rsid w:val="004229E3"/>
    <w:rsid w:val="00424EC0"/>
    <w:rsid w:val="00436401"/>
    <w:rsid w:val="0045124E"/>
    <w:rsid w:val="00456C82"/>
    <w:rsid w:val="004722D2"/>
    <w:rsid w:val="00474374"/>
    <w:rsid w:val="00485C61"/>
    <w:rsid w:val="00493202"/>
    <w:rsid w:val="004B1CB2"/>
    <w:rsid w:val="004C2685"/>
    <w:rsid w:val="004D0C08"/>
    <w:rsid w:val="004E4456"/>
    <w:rsid w:val="004E6A85"/>
    <w:rsid w:val="00500197"/>
    <w:rsid w:val="00506EFD"/>
    <w:rsid w:val="00520534"/>
    <w:rsid w:val="0052586F"/>
    <w:rsid w:val="00533861"/>
    <w:rsid w:val="00537C98"/>
    <w:rsid w:val="005400F6"/>
    <w:rsid w:val="00552E4B"/>
    <w:rsid w:val="005564B3"/>
    <w:rsid w:val="005612C8"/>
    <w:rsid w:val="00591EC4"/>
    <w:rsid w:val="00597666"/>
    <w:rsid w:val="005A7E3A"/>
    <w:rsid w:val="005C148B"/>
    <w:rsid w:val="005D31B9"/>
    <w:rsid w:val="005E2A8B"/>
    <w:rsid w:val="005E3098"/>
    <w:rsid w:val="005E6858"/>
    <w:rsid w:val="005E6A09"/>
    <w:rsid w:val="005F42A4"/>
    <w:rsid w:val="00630197"/>
    <w:rsid w:val="00633B6C"/>
    <w:rsid w:val="0066117D"/>
    <w:rsid w:val="006827F5"/>
    <w:rsid w:val="00684D68"/>
    <w:rsid w:val="006906F7"/>
    <w:rsid w:val="0069768B"/>
    <w:rsid w:val="006C038A"/>
    <w:rsid w:val="006D0AC2"/>
    <w:rsid w:val="006D4F4A"/>
    <w:rsid w:val="006E303B"/>
    <w:rsid w:val="006F72B3"/>
    <w:rsid w:val="007044A2"/>
    <w:rsid w:val="00711333"/>
    <w:rsid w:val="0073245F"/>
    <w:rsid w:val="00742B51"/>
    <w:rsid w:val="00750225"/>
    <w:rsid w:val="00772542"/>
    <w:rsid w:val="007A1B40"/>
    <w:rsid w:val="007A4613"/>
    <w:rsid w:val="007B024B"/>
    <w:rsid w:val="007B5E1F"/>
    <w:rsid w:val="007B7511"/>
    <w:rsid w:val="007D4363"/>
    <w:rsid w:val="007E044C"/>
    <w:rsid w:val="007F251A"/>
    <w:rsid w:val="008034D9"/>
    <w:rsid w:val="0082718D"/>
    <w:rsid w:val="00840522"/>
    <w:rsid w:val="00847425"/>
    <w:rsid w:val="0085062A"/>
    <w:rsid w:val="00853668"/>
    <w:rsid w:val="00856A3C"/>
    <w:rsid w:val="008726E9"/>
    <w:rsid w:val="00881B0B"/>
    <w:rsid w:val="00896E35"/>
    <w:rsid w:val="008A4532"/>
    <w:rsid w:val="008A5221"/>
    <w:rsid w:val="008A7DDE"/>
    <w:rsid w:val="008B15DE"/>
    <w:rsid w:val="008B2D99"/>
    <w:rsid w:val="008B764B"/>
    <w:rsid w:val="008C199C"/>
    <w:rsid w:val="008C6BDE"/>
    <w:rsid w:val="008D3F9F"/>
    <w:rsid w:val="008D620D"/>
    <w:rsid w:val="008D6C43"/>
    <w:rsid w:val="008E32C1"/>
    <w:rsid w:val="008E6708"/>
    <w:rsid w:val="008F489A"/>
    <w:rsid w:val="00921269"/>
    <w:rsid w:val="00926540"/>
    <w:rsid w:val="00932194"/>
    <w:rsid w:val="009433AD"/>
    <w:rsid w:val="009548BF"/>
    <w:rsid w:val="00957B6E"/>
    <w:rsid w:val="00986BB2"/>
    <w:rsid w:val="00991630"/>
    <w:rsid w:val="00992D23"/>
    <w:rsid w:val="009A68AF"/>
    <w:rsid w:val="009D05F2"/>
    <w:rsid w:val="009D28C0"/>
    <w:rsid w:val="009D646C"/>
    <w:rsid w:val="009D6B9E"/>
    <w:rsid w:val="009E7E11"/>
    <w:rsid w:val="009F15FA"/>
    <w:rsid w:val="009F3A2F"/>
    <w:rsid w:val="009F6945"/>
    <w:rsid w:val="00A02886"/>
    <w:rsid w:val="00A21AC1"/>
    <w:rsid w:val="00A22B24"/>
    <w:rsid w:val="00A3455B"/>
    <w:rsid w:val="00A34A61"/>
    <w:rsid w:val="00A41B24"/>
    <w:rsid w:val="00A46CA6"/>
    <w:rsid w:val="00A6227E"/>
    <w:rsid w:val="00A62BB7"/>
    <w:rsid w:val="00A9653E"/>
    <w:rsid w:val="00AA2B63"/>
    <w:rsid w:val="00AA7499"/>
    <w:rsid w:val="00AB52E8"/>
    <w:rsid w:val="00AB5EB8"/>
    <w:rsid w:val="00AE174A"/>
    <w:rsid w:val="00AE79EC"/>
    <w:rsid w:val="00AF1575"/>
    <w:rsid w:val="00AF1616"/>
    <w:rsid w:val="00AF5966"/>
    <w:rsid w:val="00B01C8C"/>
    <w:rsid w:val="00B05B6D"/>
    <w:rsid w:val="00B24247"/>
    <w:rsid w:val="00B2678F"/>
    <w:rsid w:val="00B35F34"/>
    <w:rsid w:val="00B41E28"/>
    <w:rsid w:val="00B4355E"/>
    <w:rsid w:val="00B46E79"/>
    <w:rsid w:val="00B55B45"/>
    <w:rsid w:val="00B60EF1"/>
    <w:rsid w:val="00B66396"/>
    <w:rsid w:val="00B70C1E"/>
    <w:rsid w:val="00B72EAA"/>
    <w:rsid w:val="00B75924"/>
    <w:rsid w:val="00B901EC"/>
    <w:rsid w:val="00BA153A"/>
    <w:rsid w:val="00BA2CB3"/>
    <w:rsid w:val="00BB35D3"/>
    <w:rsid w:val="00BC2AF8"/>
    <w:rsid w:val="00BD1ADE"/>
    <w:rsid w:val="00BF1697"/>
    <w:rsid w:val="00C025FC"/>
    <w:rsid w:val="00C11015"/>
    <w:rsid w:val="00C13DC9"/>
    <w:rsid w:val="00C24C32"/>
    <w:rsid w:val="00C44AFB"/>
    <w:rsid w:val="00C452B9"/>
    <w:rsid w:val="00C747B9"/>
    <w:rsid w:val="00C76F8B"/>
    <w:rsid w:val="00CA51E1"/>
    <w:rsid w:val="00CB76BF"/>
    <w:rsid w:val="00CC0C07"/>
    <w:rsid w:val="00CC2535"/>
    <w:rsid w:val="00CE1CAF"/>
    <w:rsid w:val="00CE5A4C"/>
    <w:rsid w:val="00CF51ED"/>
    <w:rsid w:val="00CF674D"/>
    <w:rsid w:val="00D02BD3"/>
    <w:rsid w:val="00D038DA"/>
    <w:rsid w:val="00D041FA"/>
    <w:rsid w:val="00D12D92"/>
    <w:rsid w:val="00D23F31"/>
    <w:rsid w:val="00D26929"/>
    <w:rsid w:val="00D273F4"/>
    <w:rsid w:val="00D42121"/>
    <w:rsid w:val="00D42B0A"/>
    <w:rsid w:val="00D47A26"/>
    <w:rsid w:val="00D51A11"/>
    <w:rsid w:val="00D51B43"/>
    <w:rsid w:val="00D522F3"/>
    <w:rsid w:val="00D53AAD"/>
    <w:rsid w:val="00D63C26"/>
    <w:rsid w:val="00D67E92"/>
    <w:rsid w:val="00D713AF"/>
    <w:rsid w:val="00D72534"/>
    <w:rsid w:val="00D83EDC"/>
    <w:rsid w:val="00D845A9"/>
    <w:rsid w:val="00D85E5C"/>
    <w:rsid w:val="00D95858"/>
    <w:rsid w:val="00DC0BA4"/>
    <w:rsid w:val="00DE61AD"/>
    <w:rsid w:val="00DF258F"/>
    <w:rsid w:val="00DF4DC5"/>
    <w:rsid w:val="00E01F8D"/>
    <w:rsid w:val="00E075F8"/>
    <w:rsid w:val="00E34FF2"/>
    <w:rsid w:val="00E6509E"/>
    <w:rsid w:val="00E70905"/>
    <w:rsid w:val="00E75789"/>
    <w:rsid w:val="00EA667F"/>
    <w:rsid w:val="00EB0585"/>
    <w:rsid w:val="00EC1219"/>
    <w:rsid w:val="00EC4868"/>
    <w:rsid w:val="00EC705F"/>
    <w:rsid w:val="00ED4757"/>
    <w:rsid w:val="00ED666E"/>
    <w:rsid w:val="00EE688B"/>
    <w:rsid w:val="00F1055D"/>
    <w:rsid w:val="00F11BBE"/>
    <w:rsid w:val="00F14A72"/>
    <w:rsid w:val="00F15645"/>
    <w:rsid w:val="00F2491A"/>
    <w:rsid w:val="00F25C21"/>
    <w:rsid w:val="00F32CBD"/>
    <w:rsid w:val="00F3598E"/>
    <w:rsid w:val="00F379DC"/>
    <w:rsid w:val="00F46D85"/>
    <w:rsid w:val="00F4770B"/>
    <w:rsid w:val="00F53D34"/>
    <w:rsid w:val="00F76ECB"/>
    <w:rsid w:val="00F96E25"/>
    <w:rsid w:val="00F9722A"/>
    <w:rsid w:val="00FB37B8"/>
    <w:rsid w:val="00FC1322"/>
    <w:rsid w:val="00FD0BAD"/>
    <w:rsid w:val="00FD402C"/>
    <w:rsid w:val="00FE24A1"/>
    <w:rsid w:val="00FF3D7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5003C"/>
  <w15:chartTrackingRefBased/>
  <w15:docId w15:val="{B0B23D2E-8B7C-447B-AE32-AA8FDBDE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fr-FR"/>
    </w:rPr>
  </w:style>
  <w:style w:type="paragraph" w:styleId="Titre1">
    <w:name w:val="heading 1"/>
    <w:basedOn w:val="Normal"/>
    <w:next w:val="Paragrdouble"/>
    <w:qFormat/>
    <w:rsid w:val="00D12D92"/>
    <w:pPr>
      <w:keepNext/>
      <w:spacing w:before="240" w:after="60"/>
      <w:ind w:left="432" w:hanging="432"/>
      <w:outlineLvl w:val="0"/>
    </w:pPr>
    <w:rPr>
      <w:b/>
      <w:kern w:val="28"/>
      <w:u w:val="single"/>
    </w:rPr>
  </w:style>
  <w:style w:type="paragraph" w:styleId="Titre2">
    <w:name w:val="heading 2"/>
    <w:basedOn w:val="Normal"/>
    <w:next w:val="Paragrdouble"/>
    <w:qFormat/>
    <w:rsid w:val="00BA153A"/>
    <w:pPr>
      <w:keepNext/>
      <w:numPr>
        <w:numId w:val="16"/>
      </w:numPr>
      <w:spacing w:before="240" w:after="60"/>
      <w:ind w:left="709" w:hanging="709"/>
      <w:outlineLvl w:val="1"/>
    </w:pPr>
    <w:rPr>
      <w:b/>
      <w:caps/>
      <w:u w:val="single"/>
    </w:rPr>
  </w:style>
  <w:style w:type="paragraph" w:styleId="Titre3">
    <w:name w:val="heading 3"/>
    <w:basedOn w:val="Normal"/>
    <w:next w:val="Paragrdouble"/>
    <w:qFormat/>
    <w:rsid w:val="00AF1575"/>
    <w:pPr>
      <w:keepNext/>
      <w:numPr>
        <w:ilvl w:val="1"/>
        <w:numId w:val="16"/>
      </w:numPr>
      <w:spacing w:before="240" w:after="60"/>
      <w:ind w:left="1162"/>
      <w:outlineLvl w:val="2"/>
    </w:pPr>
    <w:rPr>
      <w:b/>
    </w:rPr>
  </w:style>
  <w:style w:type="paragraph" w:styleId="Titre4">
    <w:name w:val="heading 4"/>
    <w:basedOn w:val="Normal"/>
    <w:next w:val="Paragrdouble"/>
    <w:qFormat/>
    <w:rsid w:val="00AF1575"/>
    <w:pPr>
      <w:keepNext/>
      <w:numPr>
        <w:ilvl w:val="2"/>
        <w:numId w:val="16"/>
      </w:numPr>
      <w:spacing w:before="240" w:after="60"/>
      <w:ind w:left="1985" w:hanging="851"/>
      <w:outlineLvl w:val="3"/>
    </w:pPr>
    <w:rPr>
      <w:b/>
    </w:rPr>
  </w:style>
  <w:style w:type="paragraph" w:styleId="Titre5">
    <w:name w:val="heading 5"/>
    <w:basedOn w:val="Titre4"/>
    <w:next w:val="Paragrdouble"/>
    <w:qFormat/>
    <w:rsid w:val="001B0DA6"/>
    <w:pPr>
      <w:numPr>
        <w:ilvl w:val="3"/>
      </w:numPr>
      <w:ind w:left="2495" w:hanging="1077"/>
      <w:outlineLvl w:val="4"/>
    </w:pPr>
  </w:style>
  <w:style w:type="paragraph" w:styleId="Titre6">
    <w:name w:val="heading 6"/>
    <w:basedOn w:val="Titre5"/>
    <w:next w:val="Paragrdouble"/>
    <w:qFormat/>
    <w:rsid w:val="00C025FC"/>
    <w:pPr>
      <w:numPr>
        <w:ilvl w:val="4"/>
      </w:numPr>
      <w:ind w:left="3657" w:hanging="1247"/>
      <w:outlineLvl w:val="5"/>
    </w:pPr>
  </w:style>
  <w:style w:type="paragraph" w:styleId="Titre7">
    <w:name w:val="heading 7"/>
    <w:basedOn w:val="Normal"/>
    <w:next w:val="Normal"/>
    <w:qFormat/>
    <w:pPr>
      <w:numPr>
        <w:ilvl w:val="6"/>
        <w:numId w:val="15"/>
      </w:numPr>
      <w:spacing w:before="240" w:after="60"/>
      <w:outlineLvl w:val="6"/>
    </w:pPr>
    <w:rPr>
      <w:sz w:val="20"/>
    </w:rPr>
  </w:style>
  <w:style w:type="paragraph" w:styleId="Titre8">
    <w:name w:val="heading 8"/>
    <w:basedOn w:val="Normal"/>
    <w:next w:val="Normal"/>
    <w:qFormat/>
    <w:pPr>
      <w:numPr>
        <w:ilvl w:val="7"/>
        <w:numId w:val="15"/>
      </w:numPr>
      <w:spacing w:before="240" w:after="60"/>
      <w:outlineLvl w:val="7"/>
    </w:pPr>
    <w:rPr>
      <w:i/>
      <w:sz w:val="20"/>
    </w:rPr>
  </w:style>
  <w:style w:type="paragraph" w:styleId="Titre9">
    <w:name w:val="heading 9"/>
    <w:basedOn w:val="Normal"/>
    <w:next w:val="Normal"/>
    <w:qFormat/>
    <w:pPr>
      <w:numPr>
        <w:ilvl w:val="8"/>
        <w:numId w:val="15"/>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double">
    <w:name w:val="Paragr. double"/>
    <w:basedOn w:val="Normal"/>
    <w:rsid w:val="00AF1575"/>
    <w:pPr>
      <w:numPr>
        <w:numId w:val="2"/>
      </w:numPr>
      <w:tabs>
        <w:tab w:val="clear" w:pos="360"/>
      </w:tabs>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pPr>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jc w:val="center"/>
    </w:pPr>
    <w:rPr>
      <w:b/>
      <w:sz w:val="36"/>
    </w:rPr>
  </w:style>
  <w:style w:type="paragraph" w:customStyle="1" w:styleId="zSoquijlblPays">
    <w:name w:val="zSoquij_lblPays"/>
    <w:basedOn w:val="Normal"/>
    <w:rsid w:val="00C025FC"/>
    <w:rPr>
      <w:caps/>
    </w:rPr>
  </w:style>
  <w:style w:type="paragraph" w:customStyle="1" w:styleId="zSoquijlblProvince">
    <w:name w:val="zSoquij_lblProvince"/>
    <w:basedOn w:val="Normal"/>
    <w:rsid w:val="00C025FC"/>
    <w:rPr>
      <w:caps/>
    </w:rPr>
  </w:style>
  <w:style w:type="paragraph" w:customStyle="1" w:styleId="zSoquijlblGreffe">
    <w:name w:val="zSoquij_lblGreffe"/>
    <w:basedOn w:val="Normal"/>
    <w:rsid w:val="00C025FC"/>
    <w:pPr>
      <w:ind w:left="70"/>
    </w:pPr>
    <w:rPr>
      <w:caps/>
    </w:rPr>
  </w:style>
  <w:style w:type="paragraph" w:customStyle="1" w:styleId="zSoquijdatGreffe">
    <w:name w:val="zSoquij_datGreffe"/>
    <w:basedOn w:val="Normal"/>
    <w:rsid w:val="00C025FC"/>
    <w:pPr>
      <w:ind w:left="29"/>
    </w:pPr>
    <w:rPr>
      <w:caps/>
    </w:r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sid w:val="00C025FC"/>
    <w:pPr>
      <w:ind w:left="70"/>
    </w:pPr>
    <w:rPr>
      <w:b/>
      <w:caps/>
    </w:rPr>
  </w:style>
  <w:style w:type="paragraph" w:customStyle="1" w:styleId="zSoquijdatQteJuge">
    <w:name w:val="zSoquij_datQteJuge"/>
    <w:basedOn w:val="Normal"/>
    <w:rsid w:val="00C025FC"/>
    <w:pPr>
      <w:ind w:left="29"/>
    </w:pPr>
    <w:rPr>
      <w:b/>
      <w:caps/>
    </w:rPr>
  </w:style>
  <w:style w:type="paragraph" w:customStyle="1" w:styleId="zSoquijdatJuge">
    <w:name w:val="zSoquij_datJuge"/>
    <w:basedOn w:val="Normal"/>
    <w:rsid w:val="00BA153A"/>
    <w:pPr>
      <w:ind w:left="52"/>
    </w:pPr>
    <w:rPr>
      <w:b/>
      <w:caps/>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rsid w:val="00C025FC"/>
    <w:pPr>
      <w:jc w:val="center"/>
    </w:pPr>
    <w:rPr>
      <w:caps/>
    </w:r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tabs>
        <w:tab w:val="left" w:pos="720"/>
      </w:tabs>
      <w:jc w:val="center"/>
    </w:pPr>
  </w:style>
  <w:style w:type="character" w:customStyle="1" w:styleId="zSoquijlblEntNoDossier">
    <w:name w:val="zSoquij_lblEntNoDossier"/>
    <w:rPr>
      <w:lang w:val="fr-CA"/>
    </w:rPr>
  </w:style>
  <w:style w:type="paragraph" w:customStyle="1" w:styleId="zSoquijlblTitrePartie">
    <w:name w:val="zSoquij_lblTitrePartie"/>
    <w:basedOn w:val="Normal"/>
  </w:style>
  <w:style w:type="paragraph" w:customStyle="1" w:styleId="zSoquijdatSignature3Juge">
    <w:name w:val="zSoquij_datSignature3Juge"/>
    <w:basedOn w:val="Normal"/>
  </w:style>
  <w:style w:type="paragraph" w:customStyle="1" w:styleId="ParagNonNum">
    <w:name w:val="ParagNonNum"/>
    <w:basedOn w:val="Paragrdouble"/>
    <w:pPr>
      <w:numPr>
        <w:numId w:val="0"/>
      </w:numPr>
      <w:ind w:firstLine="734"/>
    </w:pPr>
  </w:style>
  <w:style w:type="paragraph" w:customStyle="1" w:styleId="zSoquijdatIdJuge">
    <w:name w:val="zSoquij_datIdJuge"/>
    <w:basedOn w:val="Normal"/>
    <w:pPr>
      <w:jc w:val="center"/>
    </w:pPr>
    <w:rPr>
      <w:sz w:val="20"/>
    </w:rPr>
  </w:style>
  <w:style w:type="paragraph" w:customStyle="1" w:styleId="Sous-paragraphe">
    <w:name w:val="Sous-paragraphe"/>
    <w:basedOn w:val="Normal"/>
    <w:rsid w:val="00CF51ED"/>
    <w:pPr>
      <w:widowControl w:val="0"/>
      <w:numPr>
        <w:ilvl w:val="1"/>
        <w:numId w:val="3"/>
      </w:numPr>
      <w:spacing w:before="120" w:after="120"/>
      <w:jc w:val="both"/>
    </w:pPr>
    <w:rPr>
      <w:kern w:val="28"/>
    </w:rPr>
  </w:style>
  <w:style w:type="paragraph" w:customStyle="1" w:styleId="zSoquijdatNomProcureurDem">
    <w:name w:val="zSoquij_datNomProcureurDem"/>
    <w:basedOn w:val="zSoquijlblProcureurDem"/>
  </w:style>
  <w:style w:type="paragraph" w:customStyle="1" w:styleId="zSoquijdatNomProcureurDef">
    <w:name w:val="zSoquij_datNomProcureurDef"/>
    <w:basedOn w:val="zSoquijlblProcureurDef"/>
  </w:style>
  <w:style w:type="paragraph" w:customStyle="1" w:styleId="zSoquijdatCabinetProcureurDem">
    <w:name w:val="zSoquij_datCabinetProcureurDem"/>
    <w:basedOn w:val="Normal"/>
  </w:style>
  <w:style w:type="paragraph" w:customStyle="1" w:styleId="zSoquijdatCabinetProcureurDef">
    <w:name w:val="zSoquij_datCabinetProcureurDef"/>
    <w:basedOn w:val="zSoquijlblProcureurDef"/>
  </w:style>
  <w:style w:type="paragraph" w:customStyle="1" w:styleId="zSoquijdatSignatureJuge1">
    <w:name w:val="zSoquij_datSignatureJuge1"/>
    <w:basedOn w:val="Normal"/>
  </w:style>
  <w:style w:type="paragraph" w:customStyle="1" w:styleId="zSoquijdatSignatureJuge2">
    <w:name w:val="zSoquij_datSignatureJuge2"/>
    <w:basedOn w:val="Normal"/>
  </w:style>
  <w:style w:type="paragraph" w:customStyle="1" w:styleId="zSoquijdatSignatureJuge3">
    <w:name w:val="zSoquij_datSignatureJuge3"/>
    <w:basedOn w:val="Normal"/>
  </w:style>
  <w:style w:type="paragraph" w:customStyle="1" w:styleId="zSoquijdatRepertorie">
    <w:name w:val="zSoquij_datRepertorie"/>
    <w:basedOn w:val="zSoquijlblCour"/>
    <w:pPr>
      <w:jc w:val="left"/>
    </w:pPr>
    <w:rPr>
      <w:noProof/>
      <w:sz w:val="22"/>
    </w:rPr>
  </w:style>
  <w:style w:type="paragraph" w:customStyle="1" w:styleId="zSoquijdatRefNeutre">
    <w:name w:val="zSoquij_datRefNeutre"/>
    <w:basedOn w:val="zSoquijlblCour"/>
    <w:pPr>
      <w:jc w:val="left"/>
    </w:pPr>
    <w:rPr>
      <w:noProof/>
      <w:sz w:val="22"/>
    </w:rPr>
  </w:style>
  <w:style w:type="paragraph" w:customStyle="1" w:styleId="zSoquijdatSignature2Juge">
    <w:name w:val="zSoquij_datSignature2Juge"/>
    <w:basedOn w:val="zSoquijdatSignatureJuge3"/>
  </w:style>
  <w:style w:type="paragraph" w:customStyle="1" w:styleId="ParagAlaMarge">
    <w:name w:val="ParagAlaMarge"/>
    <w:basedOn w:val="ParagNonNum"/>
    <w:next w:val="Paragrdouble"/>
    <w:rsid w:val="00CF51ED"/>
    <w:pPr>
      <w:ind w:firstLine="0"/>
    </w:pPr>
  </w:style>
  <w:style w:type="paragraph" w:customStyle="1" w:styleId="zSoquijlblAssesseurs">
    <w:name w:val="zSoquij_lblAssesseurs"/>
    <w:basedOn w:val="Normal"/>
    <w:pPr>
      <w:ind w:left="14" w:right="-67"/>
    </w:pPr>
  </w:style>
  <w:style w:type="paragraph" w:customStyle="1" w:styleId="zSoquijdatAssesseurs">
    <w:name w:val="zSoquij_datAssesseurs"/>
    <w:basedOn w:val="Normal"/>
    <w:pPr>
      <w:ind w:left="14" w:right="-67"/>
    </w:pPr>
  </w:style>
  <w:style w:type="paragraph" w:customStyle="1" w:styleId="zSoquijlblLocalite">
    <w:name w:val="zSoquij_lblLocalite"/>
    <w:basedOn w:val="zSoquijlblGreffe"/>
  </w:style>
  <w:style w:type="paragraph" w:customStyle="1" w:styleId="zSoquijdatLocalite">
    <w:name w:val="zSoquij_datLocalite"/>
    <w:basedOn w:val="zSoquijdatGreffe"/>
  </w:style>
  <w:style w:type="numbering" w:customStyle="1" w:styleId="Style1">
    <w:name w:val="Style1"/>
    <w:uiPriority w:val="99"/>
    <w:rsid w:val="00CE1CAF"/>
    <w:pPr>
      <w:numPr>
        <w:numId w:val="16"/>
      </w:numPr>
    </w:pPr>
  </w:style>
  <w:style w:type="paragraph" w:customStyle="1" w:styleId="Paragrsimple">
    <w:name w:val="Paragr. simple"/>
    <w:basedOn w:val="Paragrdouble"/>
    <w:next w:val="Paragrdouble"/>
    <w:qFormat/>
    <w:rsid w:val="00BA153A"/>
    <w:pPr>
      <w:tabs>
        <w:tab w:val="num" w:pos="360"/>
      </w:tabs>
      <w:spacing w:line="240" w:lineRule="auto"/>
    </w:pPr>
  </w:style>
  <w:style w:type="paragraph" w:styleId="En-ttedetabledesmatires">
    <w:name w:val="TOC Heading"/>
    <w:basedOn w:val="Titre1"/>
    <w:next w:val="Normal"/>
    <w:uiPriority w:val="39"/>
    <w:qFormat/>
    <w:rsid w:val="00BA153A"/>
    <w:pPr>
      <w:keepLines/>
      <w:spacing w:before="480" w:after="0" w:line="276" w:lineRule="auto"/>
      <w:ind w:left="0" w:firstLine="0"/>
      <w:outlineLvl w:val="9"/>
    </w:pPr>
    <w:rPr>
      <w:rFonts w:ascii="Cambria" w:hAnsi="Cambria"/>
      <w:bCs/>
      <w:color w:val="365F91"/>
      <w:kern w:val="0"/>
      <w:sz w:val="28"/>
      <w:szCs w:val="28"/>
      <w:u w:val="none"/>
      <w:lang w:eastAsia="fr-CA"/>
    </w:rPr>
  </w:style>
  <w:style w:type="paragraph" w:styleId="TM1">
    <w:name w:val="toc 1"/>
    <w:basedOn w:val="Normal"/>
    <w:next w:val="Normal"/>
    <w:autoRedefine/>
    <w:uiPriority w:val="39"/>
    <w:unhideWhenUsed/>
    <w:rsid w:val="00BA153A"/>
  </w:style>
  <w:style w:type="paragraph" w:styleId="TM2">
    <w:name w:val="toc 2"/>
    <w:basedOn w:val="Normal"/>
    <w:next w:val="Normal"/>
    <w:autoRedefine/>
    <w:uiPriority w:val="39"/>
    <w:unhideWhenUsed/>
    <w:rsid w:val="00BA153A"/>
    <w:pPr>
      <w:ind w:left="240"/>
    </w:pPr>
  </w:style>
  <w:style w:type="paragraph" w:styleId="TM3">
    <w:name w:val="toc 3"/>
    <w:basedOn w:val="Normal"/>
    <w:next w:val="Normal"/>
    <w:autoRedefine/>
    <w:uiPriority w:val="39"/>
    <w:unhideWhenUsed/>
    <w:rsid w:val="00BA153A"/>
    <w:pPr>
      <w:ind w:left="480"/>
    </w:pPr>
  </w:style>
  <w:style w:type="character" w:styleId="Hyperlien">
    <w:name w:val="Hyperlink"/>
    <w:uiPriority w:val="99"/>
    <w:unhideWhenUsed/>
    <w:rsid w:val="00BA153A"/>
    <w:rPr>
      <w:color w:val="0000FF"/>
      <w:u w:val="single"/>
      <w:lang w:val="fr-CA"/>
    </w:rPr>
  </w:style>
  <w:style w:type="paragraph" w:styleId="Explorateurdedocuments">
    <w:name w:val="Document Map"/>
    <w:basedOn w:val="Normal"/>
    <w:semiHidden/>
    <w:rsid w:val="00007687"/>
    <w:pPr>
      <w:shd w:val="clear" w:color="auto" w:fill="000080"/>
    </w:pPr>
    <w:rPr>
      <w:rFonts w:ascii="Tahoma" w:hAnsi="Tahoma" w:cs="Tahoma"/>
      <w:sz w:val="20"/>
    </w:rPr>
  </w:style>
  <w:style w:type="paragraph" w:styleId="Titre">
    <w:name w:val="Title"/>
    <w:basedOn w:val="Normal"/>
    <w:qFormat/>
    <w:rsid w:val="008A4532"/>
    <w:pPr>
      <w:spacing w:before="240" w:after="60"/>
      <w:jc w:val="center"/>
      <w:outlineLvl w:val="0"/>
    </w:pPr>
    <w:rPr>
      <w:rFonts w:cs="Arial"/>
      <w:b/>
      <w:bCs/>
      <w:kern w:val="28"/>
      <w:sz w:val="32"/>
      <w:szCs w:val="32"/>
    </w:rPr>
  </w:style>
  <w:style w:type="paragraph" w:styleId="En-tte">
    <w:name w:val="header"/>
    <w:basedOn w:val="Normal"/>
    <w:link w:val="En-tteCar"/>
    <w:uiPriority w:val="99"/>
    <w:unhideWhenUsed/>
    <w:rsid w:val="002557BA"/>
    <w:pPr>
      <w:tabs>
        <w:tab w:val="center" w:pos="4320"/>
        <w:tab w:val="right" w:pos="8640"/>
      </w:tabs>
    </w:pPr>
  </w:style>
  <w:style w:type="character" w:customStyle="1" w:styleId="En-tteCar">
    <w:name w:val="En-tête Car"/>
    <w:basedOn w:val="Policepardfaut"/>
    <w:link w:val="En-tte"/>
    <w:uiPriority w:val="99"/>
    <w:rsid w:val="002557BA"/>
    <w:rPr>
      <w:rFonts w:ascii="Arial" w:hAnsi="Arial"/>
      <w:sz w:val="24"/>
      <w:lang w:eastAsia="fr-FR"/>
    </w:rPr>
  </w:style>
  <w:style w:type="paragraph" w:styleId="Pieddepage">
    <w:name w:val="footer"/>
    <w:basedOn w:val="Normal"/>
    <w:link w:val="PieddepageCar"/>
    <w:uiPriority w:val="99"/>
    <w:unhideWhenUsed/>
    <w:rsid w:val="002557BA"/>
    <w:pPr>
      <w:tabs>
        <w:tab w:val="center" w:pos="4320"/>
        <w:tab w:val="right" w:pos="8640"/>
      </w:tabs>
    </w:pPr>
  </w:style>
  <w:style w:type="character" w:customStyle="1" w:styleId="PieddepageCar">
    <w:name w:val="Pied de page Car"/>
    <w:basedOn w:val="Policepardfaut"/>
    <w:link w:val="Pieddepage"/>
    <w:uiPriority w:val="99"/>
    <w:rsid w:val="002557BA"/>
    <w:rPr>
      <w:rFonts w:ascii="Arial" w:hAnsi="Arial"/>
      <w:sz w:val="24"/>
      <w:lang w:eastAsia="fr-FR"/>
    </w:rPr>
  </w:style>
  <w:style w:type="paragraph" w:customStyle="1" w:styleId="ng-scope">
    <w:name w:val="ng-scope"/>
    <w:basedOn w:val="Normal"/>
    <w:rsid w:val="002557BA"/>
    <w:pPr>
      <w:spacing w:before="100" w:beforeAutospacing="1" w:after="100" w:afterAutospacing="1"/>
    </w:pPr>
    <w:rPr>
      <w:rFonts w:ascii="Times New Roman" w:hAnsi="Times New Roman"/>
      <w:szCs w:val="24"/>
      <w:lang w:eastAsia="fr-CA"/>
    </w:rPr>
  </w:style>
  <w:style w:type="paragraph" w:customStyle="1" w:styleId="Paragraphe">
    <w:name w:val="Paragraphe"/>
    <w:basedOn w:val="Normal"/>
    <w:rsid w:val="002557BA"/>
    <w:pPr>
      <w:tabs>
        <w:tab w:val="num" w:pos="502"/>
        <w:tab w:val="left" w:pos="618"/>
      </w:tabs>
      <w:spacing w:before="120" w:after="120" w:line="500" w:lineRule="exact"/>
      <w:ind w:left="142"/>
      <w:jc w:val="both"/>
    </w:pPr>
    <w:rPr>
      <w:kern w:val="28"/>
    </w:rPr>
  </w:style>
  <w:style w:type="character" w:styleId="Appelnotedebasdep">
    <w:name w:val="footnote reference"/>
    <w:uiPriority w:val="99"/>
    <w:semiHidden/>
    <w:rsid w:val="002557BA"/>
    <w:rPr>
      <w:vertAlign w:val="superscript"/>
      <w:lang w:val="fr-CA"/>
    </w:rPr>
  </w:style>
  <w:style w:type="paragraph" w:styleId="Rvision">
    <w:name w:val="Revision"/>
    <w:hidden/>
    <w:uiPriority w:val="99"/>
    <w:semiHidden/>
    <w:rsid w:val="008B764B"/>
    <w:rPr>
      <w:rFonts w:ascii="Arial" w:hAnsi="Arial"/>
      <w:sz w:val="24"/>
      <w:lang w:eastAsia="fr-FR"/>
    </w:rPr>
  </w:style>
  <w:style w:type="character" w:customStyle="1" w:styleId="NotedebasdepageCar">
    <w:name w:val="Note de bas de page Car"/>
    <w:basedOn w:val="Policepardfaut"/>
    <w:link w:val="Notedebasdepage"/>
    <w:rsid w:val="00E34FF2"/>
    <w:rPr>
      <w:rFonts w:ascii="Arial" w:hAnsi="Arial"/>
      <w:lang w:eastAsia="fr-FR"/>
    </w:rPr>
  </w:style>
  <w:style w:type="paragraph" w:styleId="Paragraphedeliste">
    <w:name w:val="List Paragraph"/>
    <w:basedOn w:val="Normal"/>
    <w:uiPriority w:val="34"/>
    <w:qFormat/>
    <w:rsid w:val="00E34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2D822-3DA2-44D7-8B7D-8E99BEFF5FC5}">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7100</Words>
  <Characters>39052</Characters>
  <Application>Microsoft Office Word</Application>
  <DocSecurity>0</DocSecurity>
  <Lines>325</Lines>
  <Paragraphs>92</Paragraphs>
  <ScaleCrop>false</ScaleCrop>
  <Company/>
  <LinksUpToDate>false</LinksUpToDate>
  <CharactersWithSpaces>46060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Deschênes, Gabrielle</cp:lastModifiedBy>
  <cp:revision>4</cp:revision>
  <dcterms:created xsi:type="dcterms:W3CDTF">2026-05-14T11:13:00Z</dcterms:created>
  <dcterms:modified xsi:type="dcterms:W3CDTF">2026-05-14T11:31:00Z</dcterms:modified>
</cp:coreProperties>
</file>